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4791" w14:textId="17B20970" w:rsidR="000C0069" w:rsidRDefault="000C0069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09.03.2026</w:t>
      </w:r>
    </w:p>
    <w:p w14:paraId="25595783" w14:textId="21A0C42A" w:rsidR="00D71195" w:rsidRPr="000C0069" w:rsidRDefault="00ED05D0" w:rsidP="00ED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69">
        <w:rPr>
          <w:rFonts w:ascii="Times New Roman" w:hAnsi="Times New Roman" w:cs="Times New Roman"/>
          <w:sz w:val="28"/>
          <w:szCs w:val="28"/>
          <w:lang w:val="ro-RO"/>
        </w:rPr>
        <w:t>23</w:t>
      </w:r>
      <w:r w:rsidR="003734CC" w:rsidRPr="000C006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F7201F" w:rsidRPr="000C0069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9B2855" w:rsidRPr="000C0069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3734CC" w:rsidRPr="000C0069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F7201F" w:rsidRPr="000C0069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724C8DEF" w14:textId="77777777" w:rsidR="00D95FB5" w:rsidRPr="00F96D96" w:rsidRDefault="00D95FB5" w:rsidP="00D95FB5">
      <w:pPr>
        <w:pStyle w:val="a6"/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7DEE0C1F" w14:textId="77777777" w:rsidR="00D95FB5" w:rsidRDefault="00D95FB5" w:rsidP="00D95FB5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3053FCAB" w14:textId="77777777" w:rsidR="00D95FB5" w:rsidRPr="00177C8A" w:rsidRDefault="00D95FB5" w:rsidP="00D95FB5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9FDE163" w14:textId="72BE4A14" w:rsidR="00F7201F" w:rsidRPr="00D95FB5" w:rsidRDefault="00D95FB5" w:rsidP="00A303D1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8559DC" w:rsidRPr="000C0069" w14:paraId="40F352DF" w14:textId="77777777" w:rsidTr="007B7391"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94EF8" w:rsidRPr="00A42953" w14:paraId="0E805D33" w14:textId="77777777" w:rsidTr="007B7391">
        <w:tc>
          <w:tcPr>
            <w:tcW w:w="562" w:type="dxa"/>
          </w:tcPr>
          <w:p w14:paraId="77C2A04B" w14:textId="14D30D30" w:rsidR="00094EF8" w:rsidRDefault="00094EF8" w:rsidP="00094E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47E3704A" w14:textId="77777777" w:rsidR="00094EF8" w:rsidRPr="00C21D89" w:rsidRDefault="00094EF8" w:rsidP="00094E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C2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 w:rsidRPr="00C2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7B57AE5B" w14:textId="43678BD9" w:rsidR="00094EF8" w:rsidRPr="00094EF8" w:rsidRDefault="00094EF8" w:rsidP="00094EF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funcţii</w:t>
            </w:r>
            <w:proofErr w:type="spellEnd"/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vacante)</w:t>
            </w:r>
          </w:p>
          <w:p w14:paraId="008C65FF" w14:textId="32605B4B" w:rsidR="00094EF8" w:rsidRDefault="00094EF8" w:rsidP="00094EF8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6DC8D357" w14:textId="77777777" w:rsidR="00094EF8" w:rsidRDefault="00094EF8" w:rsidP="0009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4C609B3A" w14:textId="77777777" w:rsidR="00094EF8" w:rsidRPr="00322594" w:rsidRDefault="00094EF8" w:rsidP="0009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2FEC31" w14:textId="7174EB5A" w:rsidR="00094EF8" w:rsidRPr="00322594" w:rsidRDefault="00094EF8" w:rsidP="00094EF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="00D3717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253187C8" w14:textId="7E20B9D7" w:rsidR="00094EF8" w:rsidRPr="007B7391" w:rsidRDefault="00094EF8" w:rsidP="0009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7832DA92" w14:textId="1684F1C4" w:rsidR="00094EF8" w:rsidRPr="009C79F3" w:rsidRDefault="00094EF8" w:rsidP="00094EF8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</w:p>
        </w:tc>
        <w:tc>
          <w:tcPr>
            <w:tcW w:w="2694" w:type="dxa"/>
          </w:tcPr>
          <w:p w14:paraId="0F4EC30F" w14:textId="6A08BB4A" w:rsidR="00094EF8" w:rsidRPr="000C0069" w:rsidRDefault="00094EF8" w:rsidP="00094EF8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263E4216" w14:textId="77777777" w:rsidR="00094EF8" w:rsidRDefault="00094EF8" w:rsidP="00094EF8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3D7A1AA9" w14:textId="77777777" w:rsidR="000C0069" w:rsidRPr="00E15984" w:rsidRDefault="000C0069" w:rsidP="000C006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105DA8FA" w14:textId="77777777" w:rsidR="000C0069" w:rsidRPr="00E15984" w:rsidRDefault="000C0069" w:rsidP="000C006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742841A7" w14:textId="11A2F009" w:rsidR="000C0069" w:rsidRPr="009D1796" w:rsidRDefault="000C0069" w:rsidP="000C0069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1F8135A" w14:textId="77777777" w:rsidR="000C0069" w:rsidRPr="000C0069" w:rsidRDefault="000C0069" w:rsidP="00094EF8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729" w:type="dxa"/>
          </w:tcPr>
          <w:p w14:paraId="3968ED5B" w14:textId="77777777" w:rsidR="00094EF8" w:rsidRPr="00322594" w:rsidRDefault="00094EF8" w:rsidP="00094EF8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09669ED1" w14:textId="77777777" w:rsidR="00094EF8" w:rsidRPr="00322594" w:rsidRDefault="00094EF8" w:rsidP="00094EF8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0E77AD6" w14:textId="77777777" w:rsidR="00094EF8" w:rsidRDefault="00094EF8" w:rsidP="00094EF8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0B604574" w14:textId="77777777" w:rsidR="00094EF8" w:rsidRPr="00F51F49" w:rsidRDefault="00094EF8" w:rsidP="00094EF8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350B531D" w14:textId="0755213A" w:rsidR="00094EF8" w:rsidRPr="00322594" w:rsidRDefault="00094EF8" w:rsidP="00094EF8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094EF8" w:rsidRPr="000C0069" w14:paraId="04537FE3" w14:textId="77777777" w:rsidTr="007B7391">
        <w:tc>
          <w:tcPr>
            <w:tcW w:w="15491" w:type="dxa"/>
            <w:gridSpan w:val="6"/>
          </w:tcPr>
          <w:p w14:paraId="4817798E" w14:textId="77777777" w:rsidR="00094EF8" w:rsidRPr="00E12025" w:rsidRDefault="00094EF8" w:rsidP="00094E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1F0E5315" w14:textId="618FC7EB" w:rsidR="00AB260B" w:rsidRPr="00DC4FD0" w:rsidRDefault="00AB260B" w:rsidP="00AB2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39601E8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Legea Inspectoratului General pentru Situații de Urgență nr. 93 din </w:t>
            </w:r>
            <w:r>
              <w:rPr>
                <w:lang w:val="ro-RO" w:eastAsia="en-US"/>
              </w:rPr>
              <w:t>0</w:t>
            </w:r>
            <w:r w:rsidRPr="00DC4FD0">
              <w:rPr>
                <w:lang w:val="ro-RO" w:eastAsia="en-US"/>
              </w:rPr>
              <w:t>5.04.2007;</w:t>
            </w:r>
          </w:p>
          <w:p w14:paraId="2CD3DA61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566D7E73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4198D8FE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1FC97299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0E3E27C2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0187FE98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lastRenderedPageBreak/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06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 xml:space="preserve">2017 pentru punerea în aplicare a prevederilor Legii nr. 288 din 16 decembrie 2016 privind </w:t>
            </w:r>
            <w:proofErr w:type="spellStart"/>
            <w:r w:rsidRPr="00DC4FD0">
              <w:rPr>
                <w:lang w:val="ro-RO" w:eastAsia="en-US"/>
              </w:rPr>
              <w:t>funcţionarul</w:t>
            </w:r>
            <w:proofErr w:type="spellEnd"/>
            <w:r w:rsidRPr="00DC4FD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593EBAC6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DC4FD0">
              <w:rPr>
                <w:lang w:val="ro-RO" w:eastAsia="en-US"/>
              </w:rPr>
              <w:t>Situaţii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5690288E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7370A0BB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fumului al pompierilor si salvatorilor;</w:t>
            </w:r>
          </w:p>
          <w:p w14:paraId="42D31B45" w14:textId="77777777" w:rsidR="00AB260B" w:rsidRPr="00543321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b/>
                <w:bCs/>
                <w:lang w:val="ro-RO"/>
              </w:rPr>
            </w:pPr>
            <w:hyperlink r:id="rId6" w:tgtFrame="_blank" w:history="1">
              <w:r w:rsidRPr="00543321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04E77891" w14:textId="77777777" w:rsidR="00AB260B" w:rsidRPr="00AB260B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6A02B12A" w14:textId="2EF84122" w:rsidR="00094EF8" w:rsidRPr="00AB260B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AB260B">
              <w:rPr>
                <w:lang w:val="ro-RO"/>
              </w:rPr>
              <w:t xml:space="preserve">Ghid de prim ajutor în </w:t>
            </w:r>
            <w:proofErr w:type="spellStart"/>
            <w:r w:rsidRPr="00AB260B">
              <w:rPr>
                <w:lang w:val="ro-RO"/>
              </w:rPr>
              <w:t>urgenţe</w:t>
            </w:r>
            <w:proofErr w:type="spellEnd"/>
            <w:r w:rsidRPr="00AB260B">
              <w:rPr>
                <w:lang w:val="ro-RO"/>
              </w:rPr>
              <w:t xml:space="preserve"> medicale, www.igsu.gov.md.</w:t>
            </w: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036DA48B" w14:textId="77777777" w:rsidR="00ED05D0" w:rsidRPr="001519FB" w:rsidRDefault="00ED05D0" w:rsidP="00ED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204E0E69" w14:textId="77777777" w:rsidR="00ED05D0" w:rsidRDefault="00ED05D0" w:rsidP="00ED05D0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6D8BA889" w14:textId="77777777" w:rsidR="00ED05D0" w:rsidRPr="00851217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1CD7A2B" w14:textId="77777777" w:rsidR="00ED05D0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2D49AC3" w14:textId="77777777" w:rsidR="00ED05D0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ED05D0" w:rsidRPr="000C0069" w14:paraId="49159BB7" w14:textId="77777777" w:rsidTr="00F466AC">
        <w:tc>
          <w:tcPr>
            <w:tcW w:w="562" w:type="dxa"/>
          </w:tcPr>
          <w:p w14:paraId="7C25BC07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4EAB5539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1DF14F24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4D75CCFA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3B4575CD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72C51149" w14:textId="77777777" w:rsidR="00ED05D0" w:rsidRPr="004E4F81" w:rsidRDefault="00ED05D0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D35193B" w14:textId="77777777" w:rsidR="00ED05D0" w:rsidRPr="0038171A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198D" w:rsidRPr="00A42953" w14:paraId="799470B6" w14:textId="77777777" w:rsidTr="00F466AC">
        <w:tc>
          <w:tcPr>
            <w:tcW w:w="562" w:type="dxa"/>
          </w:tcPr>
          <w:p w14:paraId="5D03868F" w14:textId="77777777" w:rsidR="00CA198D" w:rsidRDefault="00CA198D" w:rsidP="00CA19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061240B3" w14:textId="77777777" w:rsidR="00CA198D" w:rsidRDefault="00CA198D" w:rsidP="00CA1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0548BF3D" w14:textId="77777777" w:rsidR="00CA198D" w:rsidRPr="00F46484" w:rsidRDefault="00CA198D" w:rsidP="00CA1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</w:t>
            </w:r>
            <w:proofErr w:type="spellEnd"/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vacante)</w:t>
            </w:r>
          </w:p>
          <w:p w14:paraId="52DD4114" w14:textId="77777777" w:rsidR="00CA198D" w:rsidRPr="00D34E67" w:rsidRDefault="00CA198D" w:rsidP="00CA1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B4DF5F0" w14:textId="77777777" w:rsidR="00CA198D" w:rsidRDefault="00CA198D" w:rsidP="00CA198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0D1685C5" w14:textId="77777777" w:rsidR="00CA198D" w:rsidRDefault="00CA198D" w:rsidP="00CA1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34168074" w14:textId="77777777" w:rsidR="00CA198D" w:rsidRPr="00322594" w:rsidRDefault="00CA198D" w:rsidP="00CA1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4AAA38" w14:textId="36B9BF73" w:rsidR="00CA198D" w:rsidRPr="00322594" w:rsidRDefault="00CA198D" w:rsidP="00CA198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28E0D7CC" w14:textId="77777777" w:rsidR="00CA198D" w:rsidRPr="007B7391" w:rsidRDefault="00CA198D" w:rsidP="00CA1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54C37E41" w14:textId="71711C81" w:rsidR="00CA198D" w:rsidRPr="009C79F3" w:rsidRDefault="00CA198D" w:rsidP="00CA198D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694" w:type="dxa"/>
          </w:tcPr>
          <w:p w14:paraId="4CA79D9E" w14:textId="77777777" w:rsidR="001422A6" w:rsidRPr="000C0069" w:rsidRDefault="001422A6" w:rsidP="001422A6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556849F" w14:textId="77777777" w:rsidR="001422A6" w:rsidRDefault="001422A6" w:rsidP="001422A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732AB9E0" w14:textId="77777777" w:rsidR="001422A6" w:rsidRPr="00E15984" w:rsidRDefault="001422A6" w:rsidP="001422A6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4929B8B7" w14:textId="77777777" w:rsidR="001422A6" w:rsidRPr="00E15984" w:rsidRDefault="001422A6" w:rsidP="001422A6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60A02583" w14:textId="77777777" w:rsidR="001422A6" w:rsidRPr="009D1796" w:rsidRDefault="001422A6" w:rsidP="001422A6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F215EE6" w14:textId="77777777" w:rsidR="00CA198D" w:rsidRDefault="00CA198D" w:rsidP="00CA198D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7B162E77" w14:textId="77777777" w:rsidR="00CA198D" w:rsidRPr="00322594" w:rsidRDefault="00CA198D" w:rsidP="00CA198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1D017B2D" w14:textId="77777777" w:rsidR="00CA198D" w:rsidRPr="00322594" w:rsidRDefault="00CA198D" w:rsidP="00CA198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CDF2F35" w14:textId="77777777" w:rsidR="00CA198D" w:rsidRDefault="00CA198D" w:rsidP="00CA198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7922F77E" w14:textId="77777777" w:rsidR="00CA198D" w:rsidRPr="00F51F49" w:rsidRDefault="00CA198D" w:rsidP="00CA198D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1E428927" w14:textId="4D7D848C" w:rsidR="00CA198D" w:rsidRPr="00322594" w:rsidRDefault="00CA198D" w:rsidP="00CA198D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3E4D02" w:rsidRPr="00A42953" w14:paraId="7C31F293" w14:textId="77777777" w:rsidTr="00F466AC">
        <w:tc>
          <w:tcPr>
            <w:tcW w:w="562" w:type="dxa"/>
          </w:tcPr>
          <w:p w14:paraId="13107130" w14:textId="1A5B5DF9" w:rsidR="003E4D02" w:rsidRDefault="003E4D02" w:rsidP="003E4D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2127" w:type="dxa"/>
          </w:tcPr>
          <w:p w14:paraId="7A4FB018" w14:textId="77777777" w:rsidR="003E4D02" w:rsidRPr="003E4D02" w:rsidRDefault="003E4D02" w:rsidP="003E4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E4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Şef</w:t>
            </w:r>
            <w:proofErr w:type="spellEnd"/>
            <w:r w:rsidRPr="003E4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schimb</w:t>
            </w:r>
            <w:proofErr w:type="spellEnd"/>
          </w:p>
          <w:p w14:paraId="5E238FBD" w14:textId="3229C6D7" w:rsidR="003E4D02" w:rsidRPr="00D34E67" w:rsidRDefault="003E4D02" w:rsidP="003E4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8D2F954" w14:textId="77777777" w:rsidR="003E4D02" w:rsidRPr="00D34E67" w:rsidRDefault="003E4D02" w:rsidP="003E4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154E2BCA" w14:textId="0A106256" w:rsidR="003E4D02" w:rsidRDefault="003E4D02" w:rsidP="003E4D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Unitatea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Catedrei </w:t>
            </w:r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regătirea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perfecționarea serviciului de salvatori și pompieri” (cu statut de secție) a Centrului republican de instruire (cu statut de direcție) </w:t>
            </w:r>
          </w:p>
          <w:p w14:paraId="5B5C669F" w14:textId="77777777" w:rsidR="00C659DF" w:rsidRPr="00EC583D" w:rsidRDefault="00C659DF" w:rsidP="003E4D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2712CE" w14:textId="77777777" w:rsidR="00C659DF" w:rsidRDefault="003E4D02" w:rsidP="003E4D02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EC583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Chișinău, </w:t>
            </w:r>
          </w:p>
          <w:p w14:paraId="50B402E0" w14:textId="02D9BCA7" w:rsidR="003E4D02" w:rsidRDefault="003E4D02" w:rsidP="003E4D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583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str. Mircești, nr. 56, bloc. 5</w:t>
            </w:r>
          </w:p>
        </w:tc>
        <w:tc>
          <w:tcPr>
            <w:tcW w:w="2977" w:type="dxa"/>
          </w:tcPr>
          <w:p w14:paraId="24DF32DA" w14:textId="63089E71" w:rsidR="003E4D02" w:rsidRPr="003E4D02" w:rsidRDefault="003E4D02" w:rsidP="003E4D02">
            <w:pPr>
              <w:pStyle w:val="a6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Conducerea cu forțele și mijloacele schimbului al Serviciului la lichidarea situațiilor de urgență, instruirea și pregătirea persoanelor noi angajate, ridicarea și perfecționarea procesului de instruire a </w:t>
            </w:r>
            <w:proofErr w:type="spellStart"/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t>audenților</w:t>
            </w:r>
            <w:proofErr w:type="spellEnd"/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 cadrul Serviciului.</w:t>
            </w:r>
          </w:p>
        </w:tc>
        <w:tc>
          <w:tcPr>
            <w:tcW w:w="2694" w:type="dxa"/>
          </w:tcPr>
          <w:p w14:paraId="5CF17803" w14:textId="77777777" w:rsidR="00341020" w:rsidRPr="000C0069" w:rsidRDefault="00341020" w:rsidP="00341020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3695F424" w14:textId="77777777" w:rsidR="00341020" w:rsidRDefault="00341020" w:rsidP="00341020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31C3D5E1" w14:textId="77777777" w:rsidR="00341020" w:rsidRPr="00E15984" w:rsidRDefault="00341020" w:rsidP="0034102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40F0F98C" w14:textId="77777777" w:rsidR="00341020" w:rsidRPr="00E15984" w:rsidRDefault="00341020" w:rsidP="0034102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77A23D68" w14:textId="77777777" w:rsidR="00341020" w:rsidRPr="009D1796" w:rsidRDefault="00341020" w:rsidP="00341020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21AEA91E" w14:textId="77777777" w:rsidR="003E4D02" w:rsidRDefault="003E4D02" w:rsidP="003E4D0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2E9A650E" w14:textId="77777777" w:rsidR="003E4D02" w:rsidRPr="00322594" w:rsidRDefault="003E4D02" w:rsidP="003E4D02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74238547" w14:textId="77777777" w:rsidR="003E4D02" w:rsidRPr="00322594" w:rsidRDefault="003E4D02" w:rsidP="003E4D02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1BCE1AB" w14:textId="77777777" w:rsidR="003E4D02" w:rsidRDefault="003E4D02" w:rsidP="003E4D02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162A0DC1" w14:textId="77777777" w:rsidR="003E4D02" w:rsidRPr="00F51F49" w:rsidRDefault="003E4D02" w:rsidP="003E4D02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449AA828" w14:textId="665E542B" w:rsidR="003E4D02" w:rsidRPr="00322594" w:rsidRDefault="003E4D02" w:rsidP="003E4D02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3E4D02" w:rsidRPr="000C0069" w14:paraId="4CAE8D59" w14:textId="77777777" w:rsidTr="00F466AC">
        <w:tc>
          <w:tcPr>
            <w:tcW w:w="15491" w:type="dxa"/>
            <w:gridSpan w:val="6"/>
          </w:tcPr>
          <w:p w14:paraId="4EB4E443" w14:textId="77777777" w:rsidR="003E4D02" w:rsidRPr="00E12025" w:rsidRDefault="003E4D02" w:rsidP="003E4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37E99628" w14:textId="77777777" w:rsidR="003E4D02" w:rsidRPr="00DC4FD0" w:rsidRDefault="003E4D02" w:rsidP="003E4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173255EC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Legea Inspectoratului General pentru Situații de Urgență nr. 93 din </w:t>
            </w:r>
            <w:r>
              <w:rPr>
                <w:lang w:val="ro-RO" w:eastAsia="en-US"/>
              </w:rPr>
              <w:t>0</w:t>
            </w:r>
            <w:r w:rsidRPr="00DC4FD0">
              <w:rPr>
                <w:lang w:val="ro-RO" w:eastAsia="en-US"/>
              </w:rPr>
              <w:t>5.04.2007;</w:t>
            </w:r>
          </w:p>
          <w:p w14:paraId="01170CF7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6C59051E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2E26423E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0CC80A96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714AC999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5D24D9C2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06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 xml:space="preserve">2017 pentru punerea în aplicare a prevederilor Legii nr. 288 din 16 decembrie 2016 privind </w:t>
            </w:r>
            <w:proofErr w:type="spellStart"/>
            <w:r w:rsidRPr="00DC4FD0">
              <w:rPr>
                <w:lang w:val="ro-RO" w:eastAsia="en-US"/>
              </w:rPr>
              <w:t>funcţionarul</w:t>
            </w:r>
            <w:proofErr w:type="spellEnd"/>
            <w:r w:rsidRPr="00DC4FD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69C2C5F5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DC4FD0">
              <w:rPr>
                <w:lang w:val="ro-RO" w:eastAsia="en-US"/>
              </w:rPr>
              <w:t>Situaţii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70314A14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2DF3C7B2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fumului al pompierilor si salvatorilor;</w:t>
            </w:r>
          </w:p>
          <w:p w14:paraId="7C40B6D3" w14:textId="77777777" w:rsidR="003E4D02" w:rsidRPr="00543321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b/>
                <w:bCs/>
                <w:lang w:val="ro-RO"/>
              </w:rPr>
            </w:pPr>
            <w:hyperlink r:id="rId7" w:tgtFrame="_blank" w:history="1">
              <w:r w:rsidRPr="00543321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2E68B854" w14:textId="77777777" w:rsidR="003E4D02" w:rsidRPr="00864574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0CA5B8C8" w14:textId="05266E79" w:rsidR="003E4D02" w:rsidRPr="00864574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/>
              </w:rPr>
            </w:pPr>
            <w:r w:rsidRPr="00864574">
              <w:rPr>
                <w:lang w:val="ro-RO"/>
              </w:rPr>
              <w:t xml:space="preserve">Ghid de prim ajutor în </w:t>
            </w:r>
            <w:proofErr w:type="spellStart"/>
            <w:r w:rsidRPr="00864574">
              <w:rPr>
                <w:lang w:val="ro-RO"/>
              </w:rPr>
              <w:t>urgenţe</w:t>
            </w:r>
            <w:proofErr w:type="spellEnd"/>
            <w:r w:rsidRPr="00864574">
              <w:rPr>
                <w:lang w:val="ro-RO"/>
              </w:rPr>
              <w:t xml:space="preserve"> medicale, www.igsu.gov.md.</w:t>
            </w:r>
          </w:p>
        </w:tc>
      </w:tr>
    </w:tbl>
    <w:p w14:paraId="5F716E1D" w14:textId="77777777" w:rsidR="00ED05D0" w:rsidRDefault="00ED05D0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15558BE7" w14:textId="77777777" w:rsidR="00ED05D0" w:rsidRDefault="00ED05D0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D643BDE" w14:textId="5C3870E4" w:rsidR="00ED05D0" w:rsidRDefault="00193138" w:rsidP="00ED05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3</w:t>
      </w:r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  <w:r w:rsidR="00ED05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69599E1F" w14:textId="77777777" w:rsidR="00ED05D0" w:rsidRDefault="00ED05D0" w:rsidP="00ED05D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/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E13E960" w14:textId="77777777" w:rsidR="00ED05D0" w:rsidRPr="00851217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ECC0BF" w14:textId="77777777" w:rsidR="00ED05D0" w:rsidRDefault="00ED05D0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deţină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anterior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an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curs de management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/similar;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3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6)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afle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anchetei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urmărire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acţiunii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7)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bine” la ultima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„bine” la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8)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B92E66" w:rsidRPr="000C0069" w14:paraId="7EC69CEA" w14:textId="77777777" w:rsidTr="00F466AC">
        <w:tc>
          <w:tcPr>
            <w:tcW w:w="562" w:type="dxa"/>
          </w:tcPr>
          <w:p w14:paraId="5850BCFB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2C6ED6F4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3392C74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336B2181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2FF110A8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4E18B8C0" w14:textId="77777777" w:rsidR="00B92E66" w:rsidRPr="004E4F81" w:rsidRDefault="00B92E66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25746EAD" w14:textId="77777777" w:rsidR="00B92E66" w:rsidRPr="0038171A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B92E66" w:rsidRPr="00A42953" w14:paraId="518FE08C" w14:textId="77777777" w:rsidTr="00F466AC">
        <w:tc>
          <w:tcPr>
            <w:tcW w:w="562" w:type="dxa"/>
          </w:tcPr>
          <w:p w14:paraId="247EB472" w14:textId="77EA61CD" w:rsidR="00B92E66" w:rsidRDefault="00B92E66" w:rsidP="00F46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2BDD4192" w14:textId="77777777" w:rsidR="00B92E66" w:rsidRPr="00F24000" w:rsidRDefault="00B92E66" w:rsidP="000606A3">
            <w:pPr>
              <w:rPr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Şef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86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ecţie</w:t>
            </w:r>
            <w:proofErr w:type="spellEnd"/>
          </w:p>
        </w:tc>
        <w:tc>
          <w:tcPr>
            <w:tcW w:w="3402" w:type="dxa"/>
          </w:tcPr>
          <w:p w14:paraId="622954CE" w14:textId="77777777" w:rsidR="00B92E66" w:rsidRPr="00C86695" w:rsidRDefault="00B92E66" w:rsidP="000606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Catedra ”Pregătirea și perfecționarea serviciului de salvatori și pompieri” (cu statut de secție)</w:t>
            </w:r>
            <w:r w:rsidRPr="00C86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Centrului republican de instruire (cu statut de direcție) al Inspectoratului General pentru Situații de Urgență al MAI</w:t>
            </w:r>
          </w:p>
          <w:p w14:paraId="66A749B6" w14:textId="77777777" w:rsidR="00B92E66" w:rsidRPr="007B7391" w:rsidRDefault="00B92E66" w:rsidP="00F46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2977" w:type="dxa"/>
          </w:tcPr>
          <w:p w14:paraId="3AC3B404" w14:textId="77777777" w:rsidR="00B92E66" w:rsidRPr="009C79F3" w:rsidRDefault="00B92E66" w:rsidP="00F466AC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Realizarea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managementului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Se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>cției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/Catedrei, implementarea politicilor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procedurilor moderne, eficiente și rezultative de </w:t>
            </w:r>
            <w:r w:rsidRPr="003E105E">
              <w:rPr>
                <w:rFonts w:ascii="Times New Roman" w:hAnsi="Times New Roman"/>
                <w:sz w:val="20"/>
                <w:szCs w:val="20"/>
                <w:lang w:val="it-IT"/>
              </w:rPr>
              <w:t>formare profesională și instruire</w:t>
            </w:r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efectivului, forțelor naționale de protecție </w:t>
            </w:r>
            <w:r w:rsidRPr="003E105E">
              <w:rPr>
                <w:rFonts w:ascii="Times New Roman" w:hAnsi="Times New Roman"/>
                <w:sz w:val="20"/>
                <w:szCs w:val="20"/>
                <w:lang w:val="it-IT"/>
              </w:rPr>
              <w:t>civilă și altor categorii de subiecți stabiliți în conformitate cu prevederile legislației în vigoare,</w:t>
            </w:r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executării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formării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profesionale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instruirii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umane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financiar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logistic </w:t>
            </w:r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în vederea realizării optime a obiectivelor Secției.    </w:t>
            </w:r>
          </w:p>
        </w:tc>
        <w:tc>
          <w:tcPr>
            <w:tcW w:w="2694" w:type="dxa"/>
          </w:tcPr>
          <w:p w14:paraId="2D34E85F" w14:textId="77777777" w:rsidR="00BB713B" w:rsidRPr="000C0069" w:rsidRDefault="00BB713B" w:rsidP="00BB713B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61C35F40" w14:textId="77777777" w:rsidR="00BB713B" w:rsidRDefault="00BB713B" w:rsidP="00BB713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1F29F2D1" w14:textId="77777777" w:rsidR="00BB713B" w:rsidRPr="00E15984" w:rsidRDefault="00BB713B" w:rsidP="00BB713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27550A3A" w14:textId="77777777" w:rsidR="00BB713B" w:rsidRPr="00E15984" w:rsidRDefault="00BB713B" w:rsidP="00BB713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047625CC" w14:textId="77777777" w:rsidR="00BB713B" w:rsidRPr="009D1796" w:rsidRDefault="00BB713B" w:rsidP="00BB713B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DB8D524" w14:textId="77777777" w:rsidR="00B92E66" w:rsidRDefault="00B92E66" w:rsidP="00F466A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16D5B25A" w14:textId="77777777" w:rsidR="00B92E66" w:rsidRPr="00322594" w:rsidRDefault="00B92E66" w:rsidP="00F466A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1F27EC3B" w14:textId="77777777" w:rsidR="00B92E66" w:rsidRPr="00322594" w:rsidRDefault="00B92E66" w:rsidP="00F466AC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99E5C7D" w14:textId="77777777" w:rsidR="00B92E66" w:rsidRDefault="00B92E66" w:rsidP="00F466AC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2B4F0512" w14:textId="77777777" w:rsidR="00B92E66" w:rsidRPr="00F51F49" w:rsidRDefault="00B92E66" w:rsidP="00F466AC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11825F54" w14:textId="77777777" w:rsidR="00B92E66" w:rsidRPr="00322594" w:rsidRDefault="00B92E66" w:rsidP="00F466AC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B92E66" w:rsidRPr="000C0069" w14:paraId="21E98E25" w14:textId="77777777" w:rsidTr="00F466AC">
        <w:tc>
          <w:tcPr>
            <w:tcW w:w="15491" w:type="dxa"/>
            <w:gridSpan w:val="6"/>
          </w:tcPr>
          <w:p w14:paraId="17A63C32" w14:textId="77777777" w:rsidR="00B92E66" w:rsidRPr="00E12025" w:rsidRDefault="00B92E66" w:rsidP="00F466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5F5FFBC4" w14:textId="77777777" w:rsidR="00B92E66" w:rsidRPr="003E105E" w:rsidRDefault="00B92E66" w:rsidP="00F46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10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3E10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3E10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04A717D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Inspectoratului General pentru Situații de Urgență nr. 93 din 05.04.2007;</w:t>
            </w:r>
          </w:p>
          <w:p w14:paraId="42F06F5F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nr.267 din 09.11.1994 privind apărarea împotriva incendiilor;</w:t>
            </w:r>
          </w:p>
          <w:p w14:paraId="1CED7ABD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nr.271 din 09.11.1994 cu privire la protecția civilă;</w:t>
            </w:r>
          </w:p>
          <w:p w14:paraId="5D8A63C0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21219458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proofErr w:type="spellStart"/>
            <w:r w:rsidRPr="003E105E">
              <w:rPr>
                <w:lang w:val="ro-RO" w:eastAsia="en-US"/>
              </w:rPr>
              <w:t>Hotărîrea</w:t>
            </w:r>
            <w:proofErr w:type="spellEnd"/>
            <w:r w:rsidRPr="003E105E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2044B469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proofErr w:type="spellStart"/>
            <w:r w:rsidRPr="003E105E">
              <w:rPr>
                <w:lang w:val="ro-RO" w:eastAsia="en-US"/>
              </w:rPr>
              <w:t>Hotărîrea</w:t>
            </w:r>
            <w:proofErr w:type="spellEnd"/>
            <w:r w:rsidRPr="003E105E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06C9DBB7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proofErr w:type="spellStart"/>
            <w:r w:rsidRPr="003E105E">
              <w:rPr>
                <w:lang w:val="ro-RO" w:eastAsia="en-US"/>
              </w:rPr>
              <w:t>Hotărîrea</w:t>
            </w:r>
            <w:proofErr w:type="spellEnd"/>
            <w:r w:rsidRPr="003E105E">
              <w:rPr>
                <w:lang w:val="ro-RO" w:eastAsia="en-US"/>
              </w:rPr>
              <w:t xml:space="preserve"> Guvernului nr.  460 din 22.06.2017 pentru punerea în aplicare a prevederilor Legii nr. 288 din 16 decembrie 2016 privind </w:t>
            </w:r>
            <w:proofErr w:type="spellStart"/>
            <w:r w:rsidRPr="003E105E">
              <w:rPr>
                <w:lang w:val="ro-RO" w:eastAsia="en-US"/>
              </w:rPr>
              <w:t>funcţionarul</w:t>
            </w:r>
            <w:proofErr w:type="spellEnd"/>
            <w:r w:rsidRPr="003E105E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08FEBE78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3E105E">
              <w:rPr>
                <w:lang w:val="ro-RO" w:eastAsia="en-US"/>
              </w:rPr>
              <w:t>acţiunile</w:t>
            </w:r>
            <w:proofErr w:type="spellEnd"/>
            <w:r w:rsidRPr="003E105E">
              <w:rPr>
                <w:lang w:val="ro-RO" w:eastAsia="en-US"/>
              </w:rPr>
              <w:t xml:space="preserve"> de luptă a pompierilor </w:t>
            </w:r>
            <w:proofErr w:type="spellStart"/>
            <w:r w:rsidRPr="003E105E">
              <w:rPr>
                <w:lang w:val="ro-RO" w:eastAsia="en-US"/>
              </w:rPr>
              <w:t>şi</w:t>
            </w:r>
            <w:proofErr w:type="spellEnd"/>
            <w:r w:rsidRPr="003E105E">
              <w:rPr>
                <w:lang w:val="ro-RO" w:eastAsia="en-US"/>
              </w:rPr>
              <w:t xml:space="preserve"> salvatorilor Departamentului </w:t>
            </w:r>
            <w:proofErr w:type="spellStart"/>
            <w:r w:rsidRPr="003E105E">
              <w:rPr>
                <w:lang w:val="ro-RO" w:eastAsia="en-US"/>
              </w:rPr>
              <w:t>Situaţii</w:t>
            </w:r>
            <w:proofErr w:type="spellEnd"/>
            <w:r w:rsidRPr="003E105E">
              <w:rPr>
                <w:lang w:val="ro-RO" w:eastAsia="en-US"/>
              </w:rPr>
              <w:t xml:space="preserve"> </w:t>
            </w:r>
            <w:proofErr w:type="spellStart"/>
            <w:r w:rsidRPr="003E105E">
              <w:rPr>
                <w:lang w:val="ro-RO" w:eastAsia="en-US"/>
              </w:rPr>
              <w:t>Excepţionale</w:t>
            </w:r>
            <w:proofErr w:type="spellEnd"/>
            <w:r w:rsidRPr="003E105E">
              <w:rPr>
                <w:lang w:val="ro-RO" w:eastAsia="en-US"/>
              </w:rPr>
              <w:t xml:space="preserve"> la lichidarea </w:t>
            </w:r>
            <w:proofErr w:type="spellStart"/>
            <w:r w:rsidRPr="003E105E">
              <w:rPr>
                <w:lang w:val="ro-RO" w:eastAsia="en-US"/>
              </w:rPr>
              <w:t>consecinţelor</w:t>
            </w:r>
            <w:proofErr w:type="spellEnd"/>
            <w:r w:rsidRPr="003E105E">
              <w:rPr>
                <w:lang w:val="ro-RO" w:eastAsia="en-US"/>
              </w:rPr>
              <w:t xml:space="preserve"> </w:t>
            </w:r>
            <w:proofErr w:type="spellStart"/>
            <w:r w:rsidRPr="003E105E">
              <w:rPr>
                <w:lang w:val="ro-RO" w:eastAsia="en-US"/>
              </w:rPr>
              <w:t>situaţiilor</w:t>
            </w:r>
            <w:proofErr w:type="spellEnd"/>
            <w:r w:rsidRPr="003E105E">
              <w:rPr>
                <w:lang w:val="ro-RO" w:eastAsia="en-US"/>
              </w:rPr>
              <w:t xml:space="preserve"> </w:t>
            </w:r>
            <w:proofErr w:type="spellStart"/>
            <w:r w:rsidRPr="003E105E">
              <w:rPr>
                <w:lang w:val="ro-RO" w:eastAsia="en-US"/>
              </w:rPr>
              <w:t>excepţionale</w:t>
            </w:r>
            <w:proofErr w:type="spellEnd"/>
            <w:r w:rsidRPr="003E105E">
              <w:rPr>
                <w:lang w:val="ro-RO" w:eastAsia="en-US"/>
              </w:rPr>
              <w:t>;</w:t>
            </w:r>
          </w:p>
          <w:p w14:paraId="2FDDC3E8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69B16B9A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3E105E">
              <w:rPr>
                <w:lang w:val="ro-RO" w:eastAsia="en-US"/>
              </w:rPr>
              <w:t>protecţie</w:t>
            </w:r>
            <w:proofErr w:type="spellEnd"/>
            <w:r w:rsidRPr="003E105E">
              <w:rPr>
                <w:lang w:val="ro-RO" w:eastAsia="en-US"/>
              </w:rPr>
              <w:t xml:space="preserve"> împotriva gazelor </w:t>
            </w:r>
            <w:proofErr w:type="spellStart"/>
            <w:r w:rsidRPr="003E105E">
              <w:rPr>
                <w:lang w:val="ro-RO" w:eastAsia="en-US"/>
              </w:rPr>
              <w:t>şi</w:t>
            </w:r>
            <w:proofErr w:type="spellEnd"/>
            <w:r w:rsidRPr="003E105E">
              <w:rPr>
                <w:lang w:val="ro-RO" w:eastAsia="en-US"/>
              </w:rPr>
              <w:t xml:space="preserve"> fumului al pompierilor si salvatorilor;</w:t>
            </w:r>
          </w:p>
          <w:p w14:paraId="5679E85B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b/>
                <w:bCs/>
                <w:lang w:val="ro-RO"/>
              </w:rPr>
            </w:pPr>
            <w:hyperlink r:id="rId8" w:tgtFrame="_blank" w:history="1">
              <w:r w:rsidRPr="003E105E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3E105E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1DD3DD1A" w14:textId="77777777" w:rsidR="00B92E66" w:rsidRPr="00371200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/>
              </w:rPr>
            </w:pPr>
            <w:r w:rsidRPr="003E105E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63D5F374" w14:textId="77777777" w:rsidR="00B92E66" w:rsidRPr="00371200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/>
              </w:rPr>
            </w:pPr>
            <w:r w:rsidRPr="00371200">
              <w:rPr>
                <w:lang w:val="ro-RO"/>
              </w:rPr>
              <w:t xml:space="preserve">Ghid de prim ajutor în </w:t>
            </w:r>
            <w:proofErr w:type="spellStart"/>
            <w:r w:rsidRPr="00371200">
              <w:rPr>
                <w:lang w:val="ro-RO"/>
              </w:rPr>
              <w:t>urgenţe</w:t>
            </w:r>
            <w:proofErr w:type="spellEnd"/>
            <w:r w:rsidRPr="00371200">
              <w:rPr>
                <w:lang w:val="ro-RO"/>
              </w:rPr>
              <w:t xml:space="preserve"> medicale, www.igsu.gov.md.</w:t>
            </w:r>
          </w:p>
        </w:tc>
      </w:tr>
    </w:tbl>
    <w:p w14:paraId="67CD70EE" w14:textId="77777777" w:rsidR="00B92E66" w:rsidRDefault="00B92E66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6C302E" w14:textId="77777777" w:rsidR="00B92E66" w:rsidRDefault="00B92E66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226386" w14:textId="77777777" w:rsidR="00B92E66" w:rsidRDefault="00B92E66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193138" w:rsidRPr="000C0069" w14:paraId="733749C0" w14:textId="77777777" w:rsidTr="00F466AC">
        <w:tc>
          <w:tcPr>
            <w:tcW w:w="562" w:type="dxa"/>
          </w:tcPr>
          <w:p w14:paraId="44D82C8F" w14:textId="77777777" w:rsidR="00193138" w:rsidRPr="004324DF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4324523" w14:textId="77777777" w:rsidR="00193138" w:rsidRPr="004324DF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07932BBB" w14:textId="77777777" w:rsidR="00193138" w:rsidRPr="004324DF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34015A82" w14:textId="77777777" w:rsidR="00193138" w:rsidRPr="004324DF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32FA0232" w14:textId="77777777" w:rsidR="00193138" w:rsidRPr="004324DF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3C331141" w14:textId="77777777" w:rsidR="00193138" w:rsidRPr="004E4F81" w:rsidRDefault="00193138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E29C355" w14:textId="77777777" w:rsidR="00193138" w:rsidRPr="0038171A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24000" w:rsidRPr="00A42953" w14:paraId="2C3C1D2C" w14:textId="77777777" w:rsidTr="00F466AC">
        <w:tc>
          <w:tcPr>
            <w:tcW w:w="562" w:type="dxa"/>
          </w:tcPr>
          <w:p w14:paraId="2B153B98" w14:textId="4B134AEA" w:rsidR="00F24000" w:rsidRDefault="000606A3" w:rsidP="00F240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F240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689BFEF9" w14:textId="7F9BEBF7" w:rsidR="00F24000" w:rsidRPr="00F24000" w:rsidRDefault="00F24000" w:rsidP="000606A3">
            <w:pPr>
              <w:rPr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</w:tc>
        <w:tc>
          <w:tcPr>
            <w:tcW w:w="3402" w:type="dxa"/>
          </w:tcPr>
          <w:p w14:paraId="1BB86AE1" w14:textId="77777777" w:rsidR="00F24000" w:rsidRDefault="00F24000" w:rsidP="00F240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logistic al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</w:t>
            </w:r>
          </w:p>
          <w:p w14:paraId="0CE8EEDE" w14:textId="77777777" w:rsidR="00F24000" w:rsidRDefault="00F24000" w:rsidP="00F240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2065CE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3917E9C" w14:textId="77777777" w:rsidR="00F24000" w:rsidRPr="007B7391" w:rsidRDefault="00F24000" w:rsidP="00F240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3FB2EC95" w14:textId="78EE81A6" w:rsidR="00F24000" w:rsidRPr="009C79F3" w:rsidRDefault="00F24000" w:rsidP="00F24000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Evidenţa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modul de exploatare a bunurilor materiale în scopul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menţineii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acestora în stare perfectă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funcţionare</w:t>
            </w:r>
            <w:proofErr w:type="spellEnd"/>
          </w:p>
        </w:tc>
        <w:tc>
          <w:tcPr>
            <w:tcW w:w="2694" w:type="dxa"/>
          </w:tcPr>
          <w:p w14:paraId="3AA4B29C" w14:textId="77777777" w:rsidR="00A656DE" w:rsidRPr="000C0069" w:rsidRDefault="00A656DE" w:rsidP="00A656DE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B64E269" w14:textId="77777777" w:rsidR="00A656DE" w:rsidRDefault="00A656DE" w:rsidP="00A656D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484ECAE2" w14:textId="77777777" w:rsidR="00A656DE" w:rsidRPr="00E15984" w:rsidRDefault="00A656DE" w:rsidP="00A656DE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11CA19CB" w14:textId="77777777" w:rsidR="00A656DE" w:rsidRPr="00E15984" w:rsidRDefault="00A656DE" w:rsidP="00A656DE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114C447C" w14:textId="77777777" w:rsidR="00A656DE" w:rsidRPr="009D1796" w:rsidRDefault="00A656DE" w:rsidP="00A656DE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0FC0403A" w14:textId="77777777" w:rsidR="00F24000" w:rsidRDefault="00F24000" w:rsidP="00F24000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4A6574AE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313A19AB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CF78286" w14:textId="77777777" w:rsidR="00F24000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5E571A81" w14:textId="77777777" w:rsidR="00F24000" w:rsidRPr="00F51F49" w:rsidRDefault="00F24000" w:rsidP="00F24000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5D6CA67E" w14:textId="4EA0C02C" w:rsidR="00F24000" w:rsidRPr="00322594" w:rsidRDefault="00F24000" w:rsidP="00F24000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F24000" w:rsidRPr="000C0069" w14:paraId="4010D897" w14:textId="77777777" w:rsidTr="00F466AC">
        <w:tc>
          <w:tcPr>
            <w:tcW w:w="15491" w:type="dxa"/>
            <w:gridSpan w:val="6"/>
          </w:tcPr>
          <w:p w14:paraId="1937DBF5" w14:textId="77777777" w:rsidR="00F24000" w:rsidRPr="00E12025" w:rsidRDefault="00F24000" w:rsidP="00F24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6E09B8EB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1. </w:t>
            </w: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0607F4AE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2. Legea nr.131/2015 privind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publice;</w:t>
            </w:r>
          </w:p>
          <w:p w14:paraId="7A425A80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3.Hotărârea Guvernului nr.460/2017 pentru punerea în aplicare a Legii nr.288/2016 privind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5E96CF8B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4.Hotărârea Guvernului nr.705/2018 cu privire la aprobarea conceptului tehnic al Sistemului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informaţional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automatizat „Registrul de stat al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achiziţiilor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 (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MTender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)”;</w:t>
            </w:r>
          </w:p>
          <w:p w14:paraId="5AA4E8D4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5.Hotărârea Guvernului </w:t>
            </w:r>
            <w:bookmarkStart w:id="0" w:name="_Hlk153204419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nr.870/2022 </w:t>
            </w:r>
            <w:bookmarkEnd w:id="0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pentru aprobarea Regulamentului cu privire la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 de valoare mică;</w:t>
            </w:r>
          </w:p>
          <w:p w14:paraId="0384E4FC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6.Hotărârea Guvernului nr.987/2018 pentru aprobarea Regulamentului privind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achiziţia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bunurilor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serviciilor prin cerere ofertelor de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preţ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;</w:t>
            </w:r>
          </w:p>
          <w:p w14:paraId="1C515477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7.Hotărârea Guvernului nr.599/2020 pentru aprobarea Regulamentului cu privire la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 folosind procedura de negociere;</w:t>
            </w:r>
          </w:p>
          <w:p w14:paraId="7722268E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8.Hotărârea Guvernului nr.778/2020 pentru aprobarea Regulamentului cu privire la întocmirea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păstrarea dosarului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achiziţiei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publice.</w:t>
            </w:r>
          </w:p>
          <w:p w14:paraId="742E00CE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9.Hotărîrea Guvernului nr.500/1998 despre aprobarea Regulamentului de casare a bunurilor uzate raportate la mijloace fixe.</w:t>
            </w:r>
          </w:p>
          <w:p w14:paraId="23E1DC58" w14:textId="77777777" w:rsidR="00F24000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10.Hotărîrea Guvernului nr.901/2015 pentru aprobarea Regulamentului cu privire la modul de transmitere a bunurilor proprietate publică.</w:t>
            </w:r>
          </w:p>
          <w:p w14:paraId="0EFDF79C" w14:textId="77777777" w:rsidR="00F24000" w:rsidRPr="00F24000" w:rsidRDefault="00F24000" w:rsidP="00F24000">
            <w:pPr>
              <w:pStyle w:val="a6"/>
              <w:ind w:left="85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51E62E" w14:textId="77777777" w:rsidR="00193138" w:rsidRDefault="00193138" w:rsidP="00193138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F24000" w:rsidRPr="000C0069" w14:paraId="72576888" w14:textId="77777777" w:rsidTr="00F466AC">
        <w:tc>
          <w:tcPr>
            <w:tcW w:w="562" w:type="dxa"/>
          </w:tcPr>
          <w:p w14:paraId="72615397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1AD0BBD9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54C32E33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5ED04779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7752CAD7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3E3C8ACC" w14:textId="77777777" w:rsidR="00F24000" w:rsidRPr="004E4F81" w:rsidRDefault="00F24000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33A59525" w14:textId="77777777" w:rsidR="00F24000" w:rsidRPr="0038171A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24000" w:rsidRPr="00A42953" w14:paraId="21D99C64" w14:textId="77777777" w:rsidTr="00F466AC">
        <w:tc>
          <w:tcPr>
            <w:tcW w:w="562" w:type="dxa"/>
          </w:tcPr>
          <w:p w14:paraId="1E521D2C" w14:textId="680B35C7" w:rsidR="00F24000" w:rsidRDefault="00391EE2" w:rsidP="00F240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="00F240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4F35ECE3" w14:textId="486C1857" w:rsidR="00F24000" w:rsidRPr="00F24000" w:rsidRDefault="00F24000" w:rsidP="00AF3AF2">
            <w:pPr>
              <w:rPr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</w:tc>
        <w:tc>
          <w:tcPr>
            <w:tcW w:w="3402" w:type="dxa"/>
          </w:tcPr>
          <w:p w14:paraId="75EE94C6" w14:textId="77777777" w:rsidR="00F24000" w:rsidRDefault="00F24000" w:rsidP="00F240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finanțe al 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Centrului republican de instruire (cu statut de direcție) </w:t>
            </w:r>
          </w:p>
          <w:p w14:paraId="5CCE6198" w14:textId="77777777" w:rsidR="00F24000" w:rsidRDefault="00F24000" w:rsidP="00F24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82F32F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lastRenderedPageBreak/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3E547F54" w14:textId="77777777" w:rsidR="00F24000" w:rsidRPr="007B7391" w:rsidRDefault="00F24000" w:rsidP="00F240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4AA581BF" w14:textId="60479ED1" w:rsidR="00F24000" w:rsidRPr="009C79F3" w:rsidRDefault="00F24000" w:rsidP="00F24000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Organizarea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managementului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financiar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E666CA">
              <w:rPr>
                <w:rFonts w:ascii="Times New Roman" w:eastAsia="Times New Roman" w:hAnsi="Times New Roman" w:cs="Times New Roman"/>
                <w:spacing w:val="3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evidentei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8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cantabile</w:t>
            </w:r>
            <w:r w:rsidRPr="00E666CA">
              <w:rPr>
                <w:rFonts w:ascii="Times New Roman" w:eastAsia="Times New Roman" w:hAnsi="Times New Roman" w:cs="Times New Roman"/>
                <w:spacing w:val="20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20"/>
                <w:lang w:val="ro-RO"/>
              </w:rPr>
              <w:t>ș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14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a </w:t>
            </w:r>
            <w:r w:rsidRPr="00E666CA">
              <w:rPr>
                <w:rFonts w:ascii="Times New Roman" w:eastAsia="Times New Roman" w:hAnsi="Times New Roman" w:cs="Times New Roman"/>
                <w:spacing w:val="4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sistemului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raport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ă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rii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baza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Legii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contabilitatii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53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nr.113-XVI</w:t>
            </w:r>
            <w:r w:rsidRPr="00E666CA">
              <w:rPr>
                <w:rFonts w:ascii="Times New Roman" w:eastAsia="Times New Roman" w:hAnsi="Times New Roman" w:cs="Times New Roman"/>
                <w:spacing w:val="13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din</w:t>
            </w:r>
            <w:r w:rsidRPr="00E666CA">
              <w:rPr>
                <w:rFonts w:ascii="Times New Roman" w:eastAsia="Times New Roman" w:hAnsi="Times New Roman" w:cs="Times New Roman"/>
                <w:spacing w:val="44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27</w:t>
            </w:r>
            <w:r w:rsidRPr="00E666CA">
              <w:rPr>
                <w:rFonts w:ascii="Times New Roman" w:eastAsia="Times New Roman" w:hAnsi="Times New Roman" w:cs="Times New Roman"/>
                <w:spacing w:val="40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aprilie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36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2007,</w:t>
            </w:r>
            <w:r w:rsidRPr="00E666CA">
              <w:rPr>
                <w:rFonts w:ascii="Times New Roman" w:eastAsia="Times New Roman" w:hAnsi="Times New Roman" w:cs="Times New Roman"/>
                <w:spacing w:val="40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formarea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spacing w:val="1"/>
                <w:lang w:val="en-US"/>
              </w:rPr>
              <w:t>ș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9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mentinerea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angajatilor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serviciului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0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la</w:t>
            </w:r>
            <w:r w:rsidRPr="00E666CA">
              <w:rPr>
                <w:rFonts w:ascii="Times New Roman" w:eastAsia="Times New Roman" w:hAnsi="Times New Roman" w:cs="Times New Roman"/>
                <w:spacing w:val="28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nivel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w w:val="99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profesionist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6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8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vederea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realizarii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8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optime</w:t>
            </w:r>
            <w:r w:rsidRPr="00E666CA">
              <w:rPr>
                <w:rFonts w:ascii="Times New Roman" w:eastAsia="Times New Roman" w:hAnsi="Times New Roman" w:cs="Times New Roman"/>
                <w:spacing w:val="31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E666CA">
              <w:rPr>
                <w:rFonts w:ascii="Times New Roman" w:eastAsia="Times New Roman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sarcinilor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3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Centrului</w:t>
            </w:r>
            <w:proofErr w:type="spellEnd"/>
          </w:p>
        </w:tc>
        <w:tc>
          <w:tcPr>
            <w:tcW w:w="2694" w:type="dxa"/>
          </w:tcPr>
          <w:p w14:paraId="35EC0451" w14:textId="77777777" w:rsidR="00A656DE" w:rsidRPr="000C0069" w:rsidRDefault="00A656DE" w:rsidP="00A656DE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lastRenderedPageBreak/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3A6E64E7" w14:textId="77777777" w:rsidR="00A656DE" w:rsidRDefault="00A656DE" w:rsidP="00A656D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3821C4B7" w14:textId="77777777" w:rsidR="00A656DE" w:rsidRPr="00E15984" w:rsidRDefault="00A656DE" w:rsidP="00A656DE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02846F4F" w14:textId="77777777" w:rsidR="00A656DE" w:rsidRPr="00E15984" w:rsidRDefault="00A656DE" w:rsidP="00A656DE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lastRenderedPageBreak/>
              <w:t xml:space="preserve">termenul până la </w:t>
            </w:r>
          </w:p>
          <w:p w14:paraId="2DAEE079" w14:textId="77777777" w:rsidR="00A656DE" w:rsidRPr="009D1796" w:rsidRDefault="00A656DE" w:rsidP="00A656DE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77B94BA" w14:textId="77777777" w:rsidR="00F24000" w:rsidRDefault="00F24000" w:rsidP="00F24000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47AD9344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lastRenderedPageBreak/>
              <w:t>Centrul republican de instruire (cu statut de direcție)</w:t>
            </w:r>
          </w:p>
          <w:p w14:paraId="68F781F3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7A4136D8" w14:textId="77777777" w:rsidR="00F24000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32E1E811" w14:textId="77777777" w:rsidR="00F24000" w:rsidRPr="00F51F49" w:rsidRDefault="00F24000" w:rsidP="00F24000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lastRenderedPageBreak/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6DD4629" w14:textId="1F90A7B9" w:rsidR="00F24000" w:rsidRPr="00322594" w:rsidRDefault="00F24000" w:rsidP="00F24000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F24000" w:rsidRPr="000C0069" w14:paraId="25A982C3" w14:textId="77777777" w:rsidTr="00F466AC">
        <w:tc>
          <w:tcPr>
            <w:tcW w:w="15491" w:type="dxa"/>
            <w:gridSpan w:val="6"/>
          </w:tcPr>
          <w:p w14:paraId="345167CB" w14:textId="77777777" w:rsidR="00F24000" w:rsidRPr="00E12025" w:rsidRDefault="00F24000" w:rsidP="00F466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6EB2B653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RM 154/2003</w:t>
            </w: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59098D87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nr.288/2016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funcţionarul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 cu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 din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Afacerilor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Interne;</w:t>
            </w:r>
          </w:p>
          <w:p w14:paraId="5E876C27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nr.158/2008 cu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statutul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funcţionarului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public;</w:t>
            </w:r>
          </w:p>
          <w:p w14:paraId="0C4CF487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responsabilităţii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bugetar-fiscale nr.181/2014;</w:t>
            </w:r>
          </w:p>
          <w:p w14:paraId="7F4DA925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contabilităţii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nr.113/2007</w:t>
            </w:r>
          </w:p>
          <w:p w14:paraId="615EE2EE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- Legea nr. 270 din 23.11.2018 privind sistemul unitar de salarizare în sectorul bugetar;</w:t>
            </w:r>
          </w:p>
          <w:p w14:paraId="1034B348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BD2C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217A81B8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nr.208 din 24.12.2015 „Privind Clasifica</w:t>
            </w:r>
            <w:r w:rsidRPr="00BD2C74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73CF33E0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rdinul 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finanţelor nr.216 din 28.12. 2015 planul de conturi contabile în sistemul bugetar şi normele metodologice privind evidenţa contabilă şi raportarea financiară în sistemul bugetar;</w:t>
            </w:r>
          </w:p>
          <w:p w14:paraId="6F0615E1" w14:textId="77777777" w:rsidR="00BD2C74" w:rsidRPr="00BD2C74" w:rsidRDefault="00BD2C74" w:rsidP="00BD2C74">
            <w:pPr>
              <w:ind w:firstLine="708"/>
              <w:jc w:val="both"/>
              <w:rPr>
                <w:sz w:val="24"/>
                <w:szCs w:val="24"/>
                <w:lang w:val="it-IT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- O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nr.60 din 29.05.2012 „Cu privire la aprobarea Regulamentului privind inventarierea”.</w:t>
            </w:r>
          </w:p>
          <w:p w14:paraId="4F4859CA" w14:textId="28C76333" w:rsidR="00F24000" w:rsidRPr="00BD2C7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</w:tbl>
    <w:p w14:paraId="30560562" w14:textId="77777777" w:rsidR="00D30019" w:rsidRDefault="00D3001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133B8418" w14:textId="77777777" w:rsidR="00371200" w:rsidRPr="00F24000" w:rsidRDefault="0037120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sectPr w:rsidR="00371200" w:rsidRPr="00F24000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C5171"/>
    <w:multiLevelType w:val="hybridMultilevel"/>
    <w:tmpl w:val="26D87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9F1"/>
    <w:multiLevelType w:val="hybridMultilevel"/>
    <w:tmpl w:val="43C42A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54D23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97B2E"/>
    <w:multiLevelType w:val="hybridMultilevel"/>
    <w:tmpl w:val="D2767262"/>
    <w:lvl w:ilvl="0" w:tplc="9282248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39714034">
    <w:abstractNumId w:val="6"/>
  </w:num>
  <w:num w:numId="2" w16cid:durableId="594050625">
    <w:abstractNumId w:val="5"/>
  </w:num>
  <w:num w:numId="3" w16cid:durableId="1163278098">
    <w:abstractNumId w:val="14"/>
  </w:num>
  <w:num w:numId="4" w16cid:durableId="708914736">
    <w:abstractNumId w:val="13"/>
  </w:num>
  <w:num w:numId="5" w16cid:durableId="185676068">
    <w:abstractNumId w:val="11"/>
  </w:num>
  <w:num w:numId="6" w16cid:durableId="1381519152">
    <w:abstractNumId w:val="12"/>
  </w:num>
  <w:num w:numId="7" w16cid:durableId="356932471">
    <w:abstractNumId w:val="9"/>
  </w:num>
  <w:num w:numId="8" w16cid:durableId="424694344">
    <w:abstractNumId w:val="0"/>
  </w:num>
  <w:num w:numId="9" w16cid:durableId="1197160950">
    <w:abstractNumId w:val="10"/>
  </w:num>
  <w:num w:numId="10" w16cid:durableId="1466506978">
    <w:abstractNumId w:val="3"/>
  </w:num>
  <w:num w:numId="11" w16cid:durableId="1847013897">
    <w:abstractNumId w:val="8"/>
  </w:num>
  <w:num w:numId="12" w16cid:durableId="1220242726">
    <w:abstractNumId w:val="7"/>
  </w:num>
  <w:num w:numId="13" w16cid:durableId="630481821">
    <w:abstractNumId w:val="4"/>
  </w:num>
  <w:num w:numId="14" w16cid:durableId="568077810">
    <w:abstractNumId w:val="2"/>
  </w:num>
  <w:num w:numId="15" w16cid:durableId="81224798">
    <w:abstractNumId w:val="1"/>
  </w:num>
  <w:num w:numId="16" w16cid:durableId="1806197908">
    <w:abstractNumId w:val="15"/>
  </w:num>
  <w:num w:numId="17" w16cid:durableId="33272682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06A3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94EF8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069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198"/>
    <w:rsid w:val="00122908"/>
    <w:rsid w:val="00124575"/>
    <w:rsid w:val="001249A0"/>
    <w:rsid w:val="00132C75"/>
    <w:rsid w:val="00133F6B"/>
    <w:rsid w:val="001375E5"/>
    <w:rsid w:val="00137D45"/>
    <w:rsid w:val="001422A6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138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0671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1376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5514"/>
    <w:rsid w:val="003375E8"/>
    <w:rsid w:val="00337F2F"/>
    <w:rsid w:val="00341020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1200"/>
    <w:rsid w:val="003734CC"/>
    <w:rsid w:val="00375ABA"/>
    <w:rsid w:val="00375B25"/>
    <w:rsid w:val="0038171A"/>
    <w:rsid w:val="003823C6"/>
    <w:rsid w:val="00383E54"/>
    <w:rsid w:val="00384B61"/>
    <w:rsid w:val="0038504F"/>
    <w:rsid w:val="003872F8"/>
    <w:rsid w:val="00391E5D"/>
    <w:rsid w:val="00391EE2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3FAA"/>
    <w:rsid w:val="003B4F7C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E4D02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6BD4"/>
    <w:rsid w:val="0041769F"/>
    <w:rsid w:val="0042129D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126"/>
    <w:rsid w:val="00565D0D"/>
    <w:rsid w:val="00565E3B"/>
    <w:rsid w:val="00570BCD"/>
    <w:rsid w:val="00573D1D"/>
    <w:rsid w:val="00576BA9"/>
    <w:rsid w:val="00577C4C"/>
    <w:rsid w:val="005808A1"/>
    <w:rsid w:val="00580E13"/>
    <w:rsid w:val="00582E7E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07FE4"/>
    <w:rsid w:val="00610F8B"/>
    <w:rsid w:val="006129E4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277A0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5C66"/>
    <w:rsid w:val="00746E0F"/>
    <w:rsid w:val="00746F4D"/>
    <w:rsid w:val="00755A32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3066"/>
    <w:rsid w:val="00795843"/>
    <w:rsid w:val="00796EDF"/>
    <w:rsid w:val="007977A4"/>
    <w:rsid w:val="007A30CB"/>
    <w:rsid w:val="007A47B1"/>
    <w:rsid w:val="007A500D"/>
    <w:rsid w:val="007A5163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4574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4128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47DE7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2855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C79F3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DA0"/>
    <w:rsid w:val="00A310AD"/>
    <w:rsid w:val="00A324D5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56DE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260B"/>
    <w:rsid w:val="00AB3607"/>
    <w:rsid w:val="00AB5CC1"/>
    <w:rsid w:val="00AB6BB7"/>
    <w:rsid w:val="00AC5C08"/>
    <w:rsid w:val="00AC6695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3AF2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D4E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3CF4"/>
    <w:rsid w:val="00B54086"/>
    <w:rsid w:val="00B55684"/>
    <w:rsid w:val="00B5571D"/>
    <w:rsid w:val="00B5688E"/>
    <w:rsid w:val="00B56B36"/>
    <w:rsid w:val="00B5726F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2E66"/>
    <w:rsid w:val="00B9556F"/>
    <w:rsid w:val="00B96303"/>
    <w:rsid w:val="00BA176D"/>
    <w:rsid w:val="00BA3C52"/>
    <w:rsid w:val="00BA3F5C"/>
    <w:rsid w:val="00BA50DF"/>
    <w:rsid w:val="00BA711D"/>
    <w:rsid w:val="00BA7D60"/>
    <w:rsid w:val="00BB4204"/>
    <w:rsid w:val="00BB713B"/>
    <w:rsid w:val="00BB77AB"/>
    <w:rsid w:val="00BC6BD6"/>
    <w:rsid w:val="00BC6F4A"/>
    <w:rsid w:val="00BC740C"/>
    <w:rsid w:val="00BD2C74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9DF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198D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0C26"/>
    <w:rsid w:val="00D02BB5"/>
    <w:rsid w:val="00D03F16"/>
    <w:rsid w:val="00D04648"/>
    <w:rsid w:val="00D07565"/>
    <w:rsid w:val="00D07FE3"/>
    <w:rsid w:val="00D104D1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3717F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430F"/>
    <w:rsid w:val="00D761F8"/>
    <w:rsid w:val="00D80C07"/>
    <w:rsid w:val="00D8160F"/>
    <w:rsid w:val="00D82779"/>
    <w:rsid w:val="00D83CF0"/>
    <w:rsid w:val="00D87794"/>
    <w:rsid w:val="00D91277"/>
    <w:rsid w:val="00D920D7"/>
    <w:rsid w:val="00D95FB5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4EB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5A06"/>
    <w:rsid w:val="00E07342"/>
    <w:rsid w:val="00E07DC5"/>
    <w:rsid w:val="00E119C9"/>
    <w:rsid w:val="00E12025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25FC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5D0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4000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2C3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e.md/sites/default/files/pdf/acte-normative/Ordin%20IGSU%20nr.169%20din%2011.11.202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acte-normative/Ordin%20IGSU%20nr.169%20din%2011.11.202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e.md/sites/default/files/pdf/acte-normative/Ordin%20IGSU%20nr.169%20din%2011.11.202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27</cp:revision>
  <cp:lastPrinted>2022-10-25T08:26:00Z</cp:lastPrinted>
  <dcterms:created xsi:type="dcterms:W3CDTF">2026-02-23T14:34:00Z</dcterms:created>
  <dcterms:modified xsi:type="dcterms:W3CDTF">2026-03-09T16:15:00Z</dcterms:modified>
</cp:coreProperties>
</file>