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198C858" w:rsidR="00D71195" w:rsidRDefault="007224CE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26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281DC84B" w14:textId="77777777" w:rsidR="00793066" w:rsidRPr="00960C97" w:rsidRDefault="00793066" w:rsidP="00793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999B9C5" w14:textId="77777777" w:rsidR="00793066" w:rsidRPr="00960C97" w:rsidRDefault="00793066" w:rsidP="0079306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97869D9" w14:textId="77777777" w:rsidR="00793066" w:rsidRPr="00177C8A" w:rsidRDefault="00793066" w:rsidP="0079306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8174E9" w14:textId="77777777" w:rsidR="00793066" w:rsidRDefault="00793066" w:rsidP="00793066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06EE8A3" w14:textId="77777777" w:rsidR="00793066" w:rsidRPr="00F96D96" w:rsidRDefault="00793066" w:rsidP="00793066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Tabelgril"/>
        <w:tblW w:w="15163" w:type="dxa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2977"/>
        <w:gridCol w:w="2835"/>
        <w:gridCol w:w="3544"/>
      </w:tblGrid>
      <w:tr w:rsidR="00793066" w:rsidRPr="007224CE" w14:paraId="4D066B52" w14:textId="77777777" w:rsidTr="007224CE">
        <w:tc>
          <w:tcPr>
            <w:tcW w:w="562" w:type="dxa"/>
          </w:tcPr>
          <w:p w14:paraId="04C35EAF" w14:textId="77777777" w:rsidR="00793066" w:rsidRPr="004324DF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56141E23" w14:textId="77777777" w:rsidR="00793066" w:rsidRPr="004324DF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CD51841" w14:textId="77777777" w:rsidR="00793066" w:rsidRPr="004324DF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61052E5" w14:textId="77777777" w:rsidR="00793066" w:rsidRPr="004324DF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6B4920DC" w14:textId="77777777" w:rsidR="00793066" w:rsidRPr="004324DF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3" w:type="dxa"/>
          </w:tcPr>
          <w:p w14:paraId="6F7E99EB" w14:textId="77777777" w:rsidR="00793066" w:rsidRPr="007224CE" w:rsidRDefault="00793066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6E3D244" w14:textId="77777777" w:rsidR="00793066" w:rsidRPr="0038171A" w:rsidRDefault="00793066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F7765" w:rsidRPr="007224CE" w14:paraId="3469A77A" w14:textId="77777777" w:rsidTr="007224CE">
        <w:tc>
          <w:tcPr>
            <w:tcW w:w="562" w:type="dxa"/>
          </w:tcPr>
          <w:p w14:paraId="0A5002DB" w14:textId="77777777" w:rsidR="00CF7765" w:rsidRDefault="00CF7765" w:rsidP="00CF7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843" w:type="dxa"/>
          </w:tcPr>
          <w:p w14:paraId="6A8B3E2B" w14:textId="77777777" w:rsidR="00CF7765" w:rsidRDefault="00CF7765" w:rsidP="00CF77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0D37C140" w14:textId="61613E8D" w:rsidR="00CF7765" w:rsidRDefault="00CF7765" w:rsidP="00CF7765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5848039" w14:textId="636E4A4D" w:rsidR="00CF7765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</w:t>
            </w:r>
            <w:r w:rsidR="00570B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18BD642F" w14:textId="77777777" w:rsidR="00CF7765" w:rsidRPr="00322594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37BB56" w14:textId="77777777" w:rsidR="00CF7765" w:rsidRPr="00322594" w:rsidRDefault="00CF7765" w:rsidP="00CF776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DFF1A61" w14:textId="445F4B30" w:rsidR="00CF7765" w:rsidRPr="007B7391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2FD9AB8" w14:textId="401AA7A9" w:rsidR="00CF7765" w:rsidRPr="008B6AED" w:rsidRDefault="00CF7765" w:rsidP="00CF776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şi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Secţiei</w:t>
            </w:r>
          </w:p>
        </w:tc>
        <w:tc>
          <w:tcPr>
            <w:tcW w:w="2835" w:type="dxa"/>
          </w:tcPr>
          <w:p w14:paraId="26253CE4" w14:textId="77777777" w:rsidR="00CF7765" w:rsidRDefault="00CF7765" w:rsidP="00CF776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E0F822F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3E1215DD" w14:textId="77777777" w:rsidR="007224CE" w:rsidRDefault="007224CE" w:rsidP="00CF776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7D9DCB92" w14:textId="194A32C7" w:rsidR="00CF7765" w:rsidRPr="009D1796" w:rsidRDefault="007224CE" w:rsidP="00CF7765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="00CF7765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 w:rsidR="00CF7765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</w:t>
            </w:r>
            <w:r w:rsidR="00CF7765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 w:rsidR="00CF7765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="00CF7765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,  ora 16</w:t>
            </w:r>
            <w:r w:rsidR="00CF7765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9978A97" w14:textId="77777777" w:rsidR="00CF7765" w:rsidRDefault="00CF7765" w:rsidP="00CF776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543" w:type="dxa"/>
          </w:tcPr>
          <w:p w14:paraId="6C277B61" w14:textId="77777777" w:rsidR="00CF7765" w:rsidRPr="00322594" w:rsidRDefault="00CF7765" w:rsidP="00CF7765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1B5202A" w14:textId="77777777" w:rsidR="00CF7765" w:rsidRPr="007224CE" w:rsidRDefault="00CF7765" w:rsidP="00CF7765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5C9FC2B3" w14:textId="77777777" w:rsidR="00CF7765" w:rsidRPr="007224CE" w:rsidRDefault="00CF7765" w:rsidP="00CF7765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325CFD2E" w14:textId="77FD25E4" w:rsidR="00CF7765" w:rsidRPr="00322594" w:rsidRDefault="00CF7765" w:rsidP="00CF7765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CF7765" w:rsidRPr="00F7201F" w14:paraId="20E3206A" w14:textId="77777777" w:rsidTr="007224CE">
        <w:tc>
          <w:tcPr>
            <w:tcW w:w="15163" w:type="dxa"/>
            <w:gridSpan w:val="6"/>
          </w:tcPr>
          <w:p w14:paraId="05E39F7C" w14:textId="77777777" w:rsidR="00543321" w:rsidRPr="00DC4FD0" w:rsidRDefault="00543321" w:rsidP="00543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086A1C29" w14:textId="77777777" w:rsidR="00543321" w:rsidRPr="00DC4FD0" w:rsidRDefault="00543321" w:rsidP="00543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(domeniul intervenţie)</w:t>
            </w:r>
          </w:p>
          <w:p w14:paraId="69C71423" w14:textId="51ADDCAB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Inspectoratului General pentru Situații de Urgență</w:t>
            </w:r>
            <w:r w:rsidR="00CD1338" w:rsidRPr="00DC4FD0">
              <w:rPr>
                <w:lang w:val="ro-RO" w:eastAsia="en-US"/>
              </w:rPr>
              <w:t xml:space="preserve"> nr. 93 din </w:t>
            </w:r>
            <w:r w:rsidR="00CD1338">
              <w:rPr>
                <w:lang w:val="ro-RO" w:eastAsia="en-US"/>
              </w:rPr>
              <w:t>0</w:t>
            </w:r>
            <w:r w:rsidR="00CD1338" w:rsidRPr="00DC4FD0">
              <w:rPr>
                <w:lang w:val="ro-RO" w:eastAsia="en-US"/>
              </w:rPr>
              <w:t>5.04.2007</w:t>
            </w:r>
            <w:r w:rsidRPr="00DC4FD0">
              <w:rPr>
                <w:lang w:val="ro-RO" w:eastAsia="en-US"/>
              </w:rPr>
              <w:t>;</w:t>
            </w:r>
          </w:p>
          <w:p w14:paraId="155C68FA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1533F7D8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05B7D5B7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88E8274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2F8618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037F433" w14:textId="1C2BF99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 w:rsidR="00CD1338"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 w:rsidR="00CD1338"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2017 pentru punerea în aplicare a prevederilor Legii nr. 288 din 16 decembrie 2016 privind funcţionarul public cu statut special din cadrul Ministerului Afacerilor Interne;</w:t>
            </w:r>
          </w:p>
          <w:p w14:paraId="0DA02C2F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şi salvatorilor Departamentului Situaţii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54CBD0E1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A191E5B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şi fumului al pompierilor si salvatorilor;</w:t>
            </w:r>
          </w:p>
          <w:p w14:paraId="20AE6200" w14:textId="77777777" w:rsidR="00543321" w:rsidRPr="00543321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543321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5CF264C7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458881AA" w14:textId="3DCCA691" w:rsidR="00CF7765" w:rsidRPr="00505A46" w:rsidRDefault="00543321" w:rsidP="00A324D5">
            <w:pPr>
              <w:pStyle w:val="cn"/>
              <w:numPr>
                <w:ilvl w:val="0"/>
                <w:numId w:val="8"/>
              </w:numPr>
              <w:ind w:left="0" w:firstLine="447"/>
              <w:contextualSpacing/>
              <w:jc w:val="both"/>
              <w:rPr>
                <w:bCs/>
                <w:lang w:val="it-IT"/>
              </w:rPr>
            </w:pPr>
            <w:r w:rsidRPr="00A324D5">
              <w:rPr>
                <w:lang w:val="ro-RO" w:eastAsia="en-US"/>
              </w:rPr>
              <w:t xml:space="preserve">Ghid de prim ajutor în </w:t>
            </w:r>
            <w:proofErr w:type="spellStart"/>
            <w:r w:rsidRPr="00A324D5">
              <w:rPr>
                <w:lang w:val="ro-RO" w:eastAsia="en-US"/>
              </w:rPr>
              <w:t>urgenţe</w:t>
            </w:r>
            <w:proofErr w:type="spellEnd"/>
            <w:r w:rsidRPr="00A324D5">
              <w:rPr>
                <w:lang w:val="ro-RO" w:eastAsia="en-US"/>
              </w:rPr>
              <w:t xml:space="preserve"> medicale, </w:t>
            </w:r>
            <w:r w:rsidR="00CD1338">
              <w:rPr>
                <w:lang w:val="ro-RO" w:eastAsia="en-US"/>
              </w:rPr>
              <w:t>www.igsu.gov.md</w:t>
            </w:r>
            <w:r w:rsidR="007A5163">
              <w:rPr>
                <w:lang w:val="ro-RO" w:eastAsia="en-US"/>
              </w:rPr>
              <w:t>.</w:t>
            </w:r>
          </w:p>
        </w:tc>
      </w:tr>
    </w:tbl>
    <w:p w14:paraId="3E5192DB" w14:textId="77777777" w:rsidR="00793066" w:rsidRPr="00793066" w:rsidRDefault="00793066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6D8A337B" w14:textId="77777777" w:rsidR="00A324D5" w:rsidRDefault="00A324D5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tbl>
      <w:tblPr>
        <w:tblStyle w:val="Tabelgril"/>
        <w:tblW w:w="15163" w:type="dxa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2977"/>
        <w:gridCol w:w="2835"/>
        <w:gridCol w:w="3544"/>
      </w:tblGrid>
      <w:tr w:rsidR="00A324D5" w:rsidRPr="007224CE" w14:paraId="3C06D712" w14:textId="77777777" w:rsidTr="00583D87">
        <w:tc>
          <w:tcPr>
            <w:tcW w:w="562" w:type="dxa"/>
          </w:tcPr>
          <w:p w14:paraId="5069F6B4" w14:textId="77777777" w:rsidR="00A324D5" w:rsidRPr="004324DF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0C2A3907" w14:textId="77777777" w:rsidR="00A324D5" w:rsidRPr="004324DF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4ADA68A8" w14:textId="77777777" w:rsidR="00A324D5" w:rsidRPr="004324DF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7EDC7D4" w14:textId="77777777" w:rsidR="00A324D5" w:rsidRPr="004324DF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3817DED7" w14:textId="77777777" w:rsidR="00A324D5" w:rsidRPr="004324DF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4" w:type="dxa"/>
          </w:tcPr>
          <w:p w14:paraId="06CCBB3F" w14:textId="77777777" w:rsidR="00A324D5" w:rsidRPr="007224CE" w:rsidRDefault="00A324D5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77380AE4" w14:textId="77777777" w:rsidR="00A324D5" w:rsidRPr="0038171A" w:rsidRDefault="00A324D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25E2C" w:rsidRPr="007224CE" w14:paraId="47D6596C" w14:textId="77777777" w:rsidTr="00583D87">
        <w:tc>
          <w:tcPr>
            <w:tcW w:w="562" w:type="dxa"/>
          </w:tcPr>
          <w:p w14:paraId="6D75AC52" w14:textId="00A0C1EF" w:rsidR="00525E2C" w:rsidRDefault="00525E2C" w:rsidP="00525E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</w:tcPr>
          <w:p w14:paraId="08876DF5" w14:textId="77777777" w:rsidR="00525E2C" w:rsidRDefault="00525E2C" w:rsidP="00525E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84DE1D1" w14:textId="77777777" w:rsidR="00525E2C" w:rsidRDefault="00525E2C" w:rsidP="00525E2C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E92002F" w14:textId="33B00546" w:rsidR="00525E2C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Serviciul instruire paramedici al Catedrei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521DDD0C" w14:textId="77777777" w:rsidR="00525E2C" w:rsidRPr="00322594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5E442" w14:textId="77777777" w:rsidR="00525E2C" w:rsidRPr="00322594" w:rsidRDefault="00525E2C" w:rsidP="00525E2C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10DBAE9" w14:textId="77777777" w:rsidR="00525E2C" w:rsidRPr="007B7391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6C86C4A" w14:textId="1AD81363" w:rsidR="00525E2C" w:rsidRPr="008B6AED" w:rsidRDefault="00525E2C" w:rsidP="00525E2C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şi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Secţiei</w:t>
            </w:r>
          </w:p>
        </w:tc>
        <w:tc>
          <w:tcPr>
            <w:tcW w:w="2835" w:type="dxa"/>
          </w:tcPr>
          <w:p w14:paraId="41EF1F3C" w14:textId="77777777" w:rsidR="00525E2C" w:rsidRDefault="00525E2C" w:rsidP="00525E2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2029C6CB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7DBC23FF" w14:textId="77777777" w:rsidR="007224CE" w:rsidRDefault="007224CE" w:rsidP="007224C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5BDEE11" w14:textId="77777777" w:rsidR="007224CE" w:rsidRP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.02.2026,  ora 16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  <w:p w14:paraId="2027CAD0" w14:textId="77777777" w:rsidR="00525E2C" w:rsidRPr="007224CE" w:rsidRDefault="00525E2C" w:rsidP="00525E2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3544" w:type="dxa"/>
          </w:tcPr>
          <w:p w14:paraId="319C3EB7" w14:textId="77777777" w:rsidR="00525E2C" w:rsidRPr="00322594" w:rsidRDefault="00525E2C" w:rsidP="00525E2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21ED250" w14:textId="77777777" w:rsidR="00525E2C" w:rsidRPr="007224CE" w:rsidRDefault="00525E2C" w:rsidP="00525E2C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03772D1E" w14:textId="77777777" w:rsidR="00525E2C" w:rsidRPr="007224CE" w:rsidRDefault="00525E2C" w:rsidP="00525E2C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0E0A9A83" w14:textId="77777777" w:rsidR="00525E2C" w:rsidRPr="00322594" w:rsidRDefault="00525E2C" w:rsidP="00525E2C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525E2C" w:rsidRPr="00F7201F" w14:paraId="29686CB1" w14:textId="77777777" w:rsidTr="00583D87">
        <w:tc>
          <w:tcPr>
            <w:tcW w:w="15163" w:type="dxa"/>
            <w:gridSpan w:val="6"/>
          </w:tcPr>
          <w:p w14:paraId="0531692B" w14:textId="77777777" w:rsidR="00525E2C" w:rsidRPr="00DC4FD0" w:rsidRDefault="00525E2C" w:rsidP="00525E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539C3D6F" w14:textId="77777777" w:rsidR="00525E2C" w:rsidRPr="00DC4FD0" w:rsidRDefault="00525E2C" w:rsidP="00525E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(domeniul intervenţie)</w:t>
            </w:r>
          </w:p>
          <w:p w14:paraId="2BEDA89D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93 din 5.04.2007 Inspectoratului General pentru Situații de Urgență;</w:t>
            </w:r>
          </w:p>
          <w:p w14:paraId="576A47FB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235843D3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0C2EAEC0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5F2BEF5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C94BA95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70C6D073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22-06-2017 pentru punerea în aplicare a prevederilor Legii nr. 288 din 16 decembrie 2016 privind funcţionarul public cu statut special din cadrul Ministerului Afacerilor Interne;</w:t>
            </w:r>
          </w:p>
          <w:p w14:paraId="1637C264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şi salvatorilor Departamentului Situaţii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74293E7B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6D4EF1D0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şi fumului al pompierilor si salvatorilor;</w:t>
            </w:r>
          </w:p>
          <w:p w14:paraId="089F9F98" w14:textId="77777777" w:rsidR="00525E2C" w:rsidRPr="00543321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b/>
                <w:bCs/>
                <w:lang w:val="ro-RO"/>
              </w:rPr>
            </w:pPr>
            <w:hyperlink r:id="rId7" w:tgtFrame="_blank" w:history="1">
              <w:r w:rsidRPr="00543321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6EBA3467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5B1AACEA" w14:textId="65B2054B" w:rsidR="00525E2C" w:rsidRPr="00505A46" w:rsidRDefault="00525E2C" w:rsidP="00410FFE">
            <w:pPr>
              <w:pStyle w:val="Listparagraf"/>
              <w:ind w:left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C4FD0">
              <w:rPr>
                <w:lang w:val="ro-RO"/>
              </w:rPr>
              <w:t xml:space="preserve">Ghid de prim ajutor în </w:t>
            </w:r>
            <w:proofErr w:type="spellStart"/>
            <w:r w:rsidRPr="00DC4FD0">
              <w:rPr>
                <w:lang w:val="ro-RO"/>
              </w:rPr>
              <w:t>urgenţe</w:t>
            </w:r>
            <w:proofErr w:type="spellEnd"/>
            <w:r w:rsidRPr="00DC4FD0">
              <w:rPr>
                <w:lang w:val="ro-RO"/>
              </w:rPr>
              <w:t xml:space="preserve"> medicale, </w:t>
            </w:r>
            <w:r w:rsidR="007A5163">
              <w:rPr>
                <w:lang w:val="ro-RO"/>
              </w:rPr>
              <w:t>www.igsu.gov.md.</w:t>
            </w:r>
          </w:p>
        </w:tc>
      </w:tr>
    </w:tbl>
    <w:p w14:paraId="35F7388F" w14:textId="77777777" w:rsidR="00A324D5" w:rsidRDefault="00A324D5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5BEE430" w14:textId="77777777" w:rsidR="00D30019" w:rsidRPr="00A324D5" w:rsidRDefault="00D30019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4B60B0D" w14:textId="7C14D026" w:rsidR="00A303D1" w:rsidRPr="001519FB" w:rsidRDefault="00A303D1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6D2CC9C" w14:textId="77777777" w:rsidR="00A303D1" w:rsidRDefault="00A303D1" w:rsidP="00E36B46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2000632D" w14:textId="77777777" w:rsidR="00A303D1" w:rsidRPr="00851217" w:rsidRDefault="00A303D1" w:rsidP="00E36B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E97B68" w14:textId="77777777" w:rsidR="00A303D1" w:rsidRDefault="00A303D1" w:rsidP="00E36B46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9FDE163" w14:textId="3064CFC2" w:rsidR="00F7201F" w:rsidRDefault="00A303D1" w:rsidP="00A303D1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48F099D4" w14:textId="77777777" w:rsidR="008559DC" w:rsidRDefault="008559DC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Tabelgril"/>
        <w:tblW w:w="15304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977"/>
        <w:gridCol w:w="2835"/>
        <w:gridCol w:w="3543"/>
      </w:tblGrid>
      <w:tr w:rsidR="00325305" w:rsidRPr="007224CE" w14:paraId="39718ADB" w14:textId="77777777" w:rsidTr="00583D87">
        <w:tc>
          <w:tcPr>
            <w:tcW w:w="562" w:type="dxa"/>
          </w:tcPr>
          <w:p w14:paraId="5925F684" w14:textId="77777777" w:rsidR="00325305" w:rsidRPr="004324DF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206F0B55" w14:textId="77777777" w:rsidR="00325305" w:rsidRPr="004324DF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F128C80" w14:textId="77777777" w:rsidR="00325305" w:rsidRPr="004324DF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65A4F56C" w14:textId="77777777" w:rsidR="00325305" w:rsidRPr="004324DF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046811CC" w14:textId="77777777" w:rsidR="00325305" w:rsidRPr="004324DF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3" w:type="dxa"/>
          </w:tcPr>
          <w:p w14:paraId="277F5F41" w14:textId="77777777" w:rsidR="00325305" w:rsidRPr="007224CE" w:rsidRDefault="00325305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5C761787" w14:textId="77777777" w:rsidR="00325305" w:rsidRPr="0038171A" w:rsidRDefault="00325305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F21DF" w:rsidRPr="007224CE" w14:paraId="07960C4F" w14:textId="77777777" w:rsidTr="00583D87">
        <w:tc>
          <w:tcPr>
            <w:tcW w:w="562" w:type="dxa"/>
          </w:tcPr>
          <w:p w14:paraId="53E8D437" w14:textId="0C182B8B" w:rsidR="000F21DF" w:rsidRDefault="000F21DF" w:rsidP="000F2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985" w:type="dxa"/>
          </w:tcPr>
          <w:p w14:paraId="262227F6" w14:textId="77777777" w:rsidR="000F21DF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763C404" w14:textId="77777777" w:rsidR="000F21DF" w:rsidRPr="00D34E67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963710C" w14:textId="77777777" w:rsidR="000F21DF" w:rsidRPr="00D34E67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6F4978D" w14:textId="77777777" w:rsidR="000F21DF" w:rsidRDefault="000F21DF" w:rsidP="000F21DF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56EDA1A1" w14:textId="77777777" w:rsidR="000F21DF" w:rsidRDefault="000F21DF" w:rsidP="000F21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și conducerea protecției populației și teritoriului în situații excepționale”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43AA47F9" w14:textId="77777777" w:rsidR="000F21DF" w:rsidRDefault="000F21DF" w:rsidP="000F21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2942C" w14:textId="755E748D" w:rsidR="000F21DF" w:rsidRPr="00322594" w:rsidRDefault="000F21DF" w:rsidP="000F21D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AFDF8C6" w14:textId="164B3031" w:rsidR="000F21DF" w:rsidRPr="007B7391" w:rsidRDefault="000F21DF" w:rsidP="000F2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5C2DEBE" w14:textId="0C2B147C" w:rsidR="000F21DF" w:rsidRPr="008B6AED" w:rsidRDefault="000F21DF" w:rsidP="000F21DF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şi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Secţiei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şi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835" w:type="dxa"/>
          </w:tcPr>
          <w:p w14:paraId="0FE7FF3C" w14:textId="77777777" w:rsidR="000F21DF" w:rsidRDefault="000F21DF" w:rsidP="000F21D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6ACF53C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3448B366" w14:textId="77777777" w:rsidR="007224CE" w:rsidRDefault="007224CE" w:rsidP="007224C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64171729" w14:textId="77777777" w:rsidR="007224CE" w:rsidRP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.02.2026,  ora 16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  <w:p w14:paraId="30F6441A" w14:textId="77777777" w:rsidR="000F21DF" w:rsidRPr="007224CE" w:rsidRDefault="000F21DF" w:rsidP="000F21D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3543" w:type="dxa"/>
          </w:tcPr>
          <w:p w14:paraId="2A037F6D" w14:textId="77777777" w:rsidR="000F21DF" w:rsidRPr="00322594" w:rsidRDefault="000F21DF" w:rsidP="000F21D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33C49BE" w14:textId="77777777" w:rsidR="000F21DF" w:rsidRPr="007224CE" w:rsidRDefault="000F21DF" w:rsidP="000F21DF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1AE5F35D" w14:textId="77777777" w:rsidR="000F21DF" w:rsidRPr="007224CE" w:rsidRDefault="000F21DF" w:rsidP="000F21DF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7D7834FF" w14:textId="02B5FB80" w:rsidR="000F21DF" w:rsidRPr="00322594" w:rsidRDefault="000F21DF" w:rsidP="000F21DF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F21DF" w:rsidRPr="00F7201F" w14:paraId="754672E1" w14:textId="77777777" w:rsidTr="00583D87">
        <w:tc>
          <w:tcPr>
            <w:tcW w:w="15304" w:type="dxa"/>
            <w:gridSpan w:val="6"/>
          </w:tcPr>
          <w:p w14:paraId="1FF94F97" w14:textId="77777777" w:rsidR="007A5163" w:rsidRPr="00DC4FD0" w:rsidRDefault="007A5163" w:rsidP="007A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3A6F1318" w14:textId="77777777" w:rsidR="007A5163" w:rsidRPr="00DC4FD0" w:rsidRDefault="007A5163" w:rsidP="007A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23C653F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lastRenderedPageBreak/>
              <w:t>Legea nr. 93 din 5.04.2007 Inspectoratului General pentru Situații de Urgență;</w:t>
            </w:r>
          </w:p>
          <w:p w14:paraId="72050072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nr.267 din 09.11.1994 privind apărarea împotriva incendiilor;</w:t>
            </w:r>
          </w:p>
          <w:p w14:paraId="44EEF818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nr.271 din 09.11.1994 cu privire la protecția civilă;</w:t>
            </w:r>
          </w:p>
          <w:p w14:paraId="1EB0931A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70812E0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BC911B1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3BB85F96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Hotarîrea</w:t>
            </w:r>
            <w:proofErr w:type="spellEnd"/>
            <w:r w:rsidRPr="008B2A07">
              <w:rPr>
                <w:lang w:val="ro-RO" w:eastAsia="en-US"/>
              </w:rPr>
              <w:t xml:space="preserve"> de Guvernului nr. 847 din 07.12.2022, pentru aprobarea Regulilor generale de apărare împotriva incendiilor în Republica Moldova.</w:t>
            </w:r>
          </w:p>
          <w:p w14:paraId="2B37BE62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460 din 22-06-2017 pentru punerea în aplicare a prevederilor Legii nr. 288 din 16 decembrie 2016 privind funcţionarul public cu statut special din cadrul Ministerului Afacerilor Interne;</w:t>
            </w:r>
          </w:p>
          <w:p w14:paraId="148F749F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color w:val="000000" w:themeColor="text1"/>
                <w:lang w:val="ro-RO" w:eastAsia="en-US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98 din 08.06.2021, </w:t>
            </w:r>
            <w:r w:rsidRPr="007224CE">
              <w:rPr>
                <w:rFonts w:ascii="Tahoma" w:hAnsi="Tahoma" w:cs="Tahoma"/>
                <w:color w:val="000000" w:themeColor="text1"/>
                <w:shd w:val="clear" w:color="auto" w:fill="FFFFFF"/>
                <w:lang w:val="it-IT"/>
              </w:rPr>
              <w:t> </w:t>
            </w:r>
            <w:r w:rsidRPr="007224CE">
              <w:rPr>
                <w:color w:val="000000" w:themeColor="text1"/>
                <w:shd w:val="clear" w:color="auto" w:fill="FFFFFF"/>
                <w:lang w:val="it-IT"/>
              </w:rPr>
              <w:t>Cu privire la aprobarea Regulamentului privind organizarea și realizarea acțiunilor de prevenire.</w:t>
            </w:r>
          </w:p>
          <w:p w14:paraId="5E79A205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179 din 06.07.2022,  </w:t>
            </w:r>
            <w:r w:rsidRPr="007224CE">
              <w:rPr>
                <w:color w:val="000000" w:themeColor="text1"/>
                <w:shd w:val="clear" w:color="auto" w:fill="FFFFFF"/>
                <w:lang w:val="it-IT"/>
              </w:rPr>
              <w:t>Cu privire la aprobarea Metodologiei privind cercetarea cazurilor de incendiu.</w:t>
            </w:r>
          </w:p>
          <w:p w14:paraId="7B4984BC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Ordinul IGSU </w:t>
            </w:r>
            <w:r w:rsidRPr="008B2A07">
              <w:rPr>
                <w:bCs/>
                <w:color w:val="000000" w:themeColor="text1"/>
              </w:rPr>
              <w:t xml:space="preserve">nr. 30 din 26.02.2021, </w:t>
            </w:r>
            <w:r w:rsidRPr="007224CE">
              <w:rPr>
                <w:rFonts w:ascii="Tahoma" w:hAnsi="Tahoma" w:cs="Tahoma"/>
                <w:color w:val="000000" w:themeColor="text1"/>
                <w:shd w:val="clear" w:color="auto" w:fill="FFFFFF"/>
                <w:lang w:val="it-IT"/>
              </w:rPr>
              <w:t> </w:t>
            </w:r>
            <w:r w:rsidRPr="007224CE">
              <w:rPr>
                <w:color w:val="000000" w:themeColor="text1"/>
                <w:shd w:val="clear" w:color="auto" w:fill="FFFFFF"/>
                <w:lang w:val="it-IT"/>
              </w:rPr>
              <w:t>Cu privire la aprobarea Metodologiei pentru pregătirea și desfășurarea aplicațiilor la protecția civilă cu organele de conducere ale administrației publice locale, obiectivele economice și formațiunile protecției civile.</w:t>
            </w:r>
            <w:r w:rsidRPr="007224CE">
              <w:rPr>
                <w:rFonts w:ascii="Tahoma" w:hAnsi="Tahoma" w:cs="Tahoma"/>
                <w:color w:val="000000" w:themeColor="text1"/>
                <w:shd w:val="clear" w:color="auto" w:fill="FFFFFF"/>
                <w:lang w:val="it-IT"/>
              </w:rPr>
              <w:t> </w:t>
            </w:r>
          </w:p>
          <w:p w14:paraId="4E762837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 IGSU nr. 158, </w:t>
            </w:r>
            <w:r w:rsidRPr="007224CE">
              <w:rPr>
                <w:lang w:val="it-IT"/>
              </w:rPr>
              <w:t xml:space="preserve">Cu privire la aprobarea Instrucțiunii privind asigurarea securității și sănătății la cercetarea cazurilor de incendii </w:t>
            </w:r>
          </w:p>
          <w:p w14:paraId="25F1B301" w14:textId="2DECDB0E" w:rsidR="007A5163" w:rsidRPr="007A5163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</w:p>
          <w:p w14:paraId="0448BB4F" w14:textId="6744F60D" w:rsidR="000F21DF" w:rsidRPr="00505A46" w:rsidRDefault="007A5163" w:rsidP="00D30019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lang w:val="it-IT"/>
              </w:rPr>
            </w:pPr>
            <w:r>
              <w:rPr>
                <w:lang w:val="pt-BR"/>
              </w:rPr>
              <w:t xml:space="preserve"> Ghid</w:t>
            </w:r>
            <w:r w:rsidRPr="008B2A07">
              <w:rPr>
                <w:lang w:val="ro-RO"/>
              </w:rPr>
              <w:t xml:space="preserve"> de prim ajutor în </w:t>
            </w:r>
            <w:proofErr w:type="spellStart"/>
            <w:r w:rsidRPr="008B2A07">
              <w:rPr>
                <w:lang w:val="ro-RO"/>
              </w:rPr>
              <w:t>urgenţe</w:t>
            </w:r>
            <w:proofErr w:type="spellEnd"/>
            <w:r w:rsidRPr="008B2A07">
              <w:rPr>
                <w:lang w:val="ro-RO"/>
              </w:rPr>
              <w:t xml:space="preserve"> medicale, </w:t>
            </w:r>
            <w:r>
              <w:rPr>
                <w:lang w:val="ro-RO" w:eastAsia="en-US"/>
              </w:rPr>
              <w:t>www.igsu.gov.md.</w:t>
            </w:r>
          </w:p>
        </w:tc>
      </w:tr>
    </w:tbl>
    <w:p w14:paraId="0CF211B0" w14:textId="77777777" w:rsidR="009B590E" w:rsidRDefault="009B590E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Tabelgril"/>
        <w:tblW w:w="15304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977"/>
        <w:gridCol w:w="2835"/>
        <w:gridCol w:w="3543"/>
      </w:tblGrid>
      <w:tr w:rsidR="00A049B9" w:rsidRPr="007224CE" w14:paraId="366C5B1C" w14:textId="77777777" w:rsidTr="00583D87">
        <w:tc>
          <w:tcPr>
            <w:tcW w:w="562" w:type="dxa"/>
          </w:tcPr>
          <w:p w14:paraId="2B5B0969" w14:textId="77777777" w:rsidR="00A049B9" w:rsidRPr="004324DF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5E84D955" w14:textId="77777777" w:rsidR="00A049B9" w:rsidRPr="004324DF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29928A11" w14:textId="77777777" w:rsidR="00A049B9" w:rsidRPr="004324DF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5C76F23" w14:textId="77777777" w:rsidR="00A049B9" w:rsidRPr="004324DF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7EFF7E0F" w14:textId="77777777" w:rsidR="00A049B9" w:rsidRPr="004324DF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3" w:type="dxa"/>
          </w:tcPr>
          <w:p w14:paraId="2A93F877" w14:textId="77777777" w:rsidR="00A049B9" w:rsidRPr="007224CE" w:rsidRDefault="00A049B9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9AFC02E" w14:textId="77777777" w:rsidR="00A049B9" w:rsidRPr="0038171A" w:rsidRDefault="00A049B9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92D71" w:rsidRPr="007224CE" w14:paraId="1BD334B8" w14:textId="77777777" w:rsidTr="00583D87">
        <w:tc>
          <w:tcPr>
            <w:tcW w:w="562" w:type="dxa"/>
          </w:tcPr>
          <w:p w14:paraId="75F01610" w14:textId="745DCAF6" w:rsidR="00592D71" w:rsidRDefault="00592D71" w:rsidP="00592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985" w:type="dxa"/>
          </w:tcPr>
          <w:p w14:paraId="168B5C4D" w14:textId="77777777" w:rsidR="00592D71" w:rsidRDefault="00592D71" w:rsidP="00592D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7B60AC71" w14:textId="6A99D622" w:rsidR="00592D71" w:rsidRPr="00F46484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vacante)</w:t>
            </w:r>
          </w:p>
          <w:p w14:paraId="46C46D47" w14:textId="77777777" w:rsidR="00592D71" w:rsidRPr="00D34E67" w:rsidRDefault="00592D71" w:rsidP="00592D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8A10AF1" w14:textId="77777777" w:rsidR="00592D71" w:rsidRDefault="00592D71" w:rsidP="00592D71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C586751" w14:textId="77777777" w:rsidR="00592D71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3680493F" w14:textId="77777777" w:rsidR="00592D71" w:rsidRPr="00322594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6BFEA" w14:textId="77777777" w:rsidR="00592D71" w:rsidRPr="00322594" w:rsidRDefault="00592D71" w:rsidP="00592D7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3BC8D2D" w14:textId="10D83718" w:rsidR="00592D71" w:rsidRPr="007B7391" w:rsidRDefault="00592D71" w:rsidP="0059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380BBFB" w14:textId="7D512D6E" w:rsidR="00592D71" w:rsidRPr="008B6AED" w:rsidRDefault="00592D71" w:rsidP="00592D7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şi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Secţiei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şi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835" w:type="dxa"/>
          </w:tcPr>
          <w:p w14:paraId="3CB874B6" w14:textId="77777777" w:rsidR="00592D71" w:rsidRDefault="00592D71" w:rsidP="00592D7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65455444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2FBE9D87" w14:textId="77777777" w:rsidR="007224CE" w:rsidRDefault="007224CE" w:rsidP="007224C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EAE224E" w14:textId="77777777" w:rsidR="007224CE" w:rsidRP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.02.2026,  ora 16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  <w:p w14:paraId="50522827" w14:textId="77777777" w:rsidR="00592D71" w:rsidRPr="007224CE" w:rsidRDefault="00592D71" w:rsidP="00592D7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3543" w:type="dxa"/>
          </w:tcPr>
          <w:p w14:paraId="7ADB5175" w14:textId="77777777" w:rsidR="00592D71" w:rsidRPr="00322594" w:rsidRDefault="00592D71" w:rsidP="00592D71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AD0E7EB" w14:textId="77777777" w:rsidR="00592D71" w:rsidRPr="007224CE" w:rsidRDefault="00592D71" w:rsidP="00592D71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4B5E0A4C" w14:textId="77777777" w:rsidR="00592D71" w:rsidRPr="007224CE" w:rsidRDefault="00592D71" w:rsidP="00592D71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71BDDCF9" w14:textId="77777777" w:rsidR="00592D71" w:rsidRPr="00322594" w:rsidRDefault="00592D71" w:rsidP="00592D71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592D71" w:rsidRPr="00F7201F" w14:paraId="4B52EC60" w14:textId="77777777" w:rsidTr="00583D87">
        <w:tc>
          <w:tcPr>
            <w:tcW w:w="15304" w:type="dxa"/>
            <w:gridSpan w:val="6"/>
          </w:tcPr>
          <w:p w14:paraId="551EA631" w14:textId="77777777" w:rsidR="009E3E67" w:rsidRPr="00DC4FD0" w:rsidRDefault="009E3E67" w:rsidP="009E3E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13DA91B3" w14:textId="77777777" w:rsidR="009E3E67" w:rsidRPr="00DC4FD0" w:rsidRDefault="009E3E67" w:rsidP="009E3E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(domeniul intervenţie)</w:t>
            </w:r>
          </w:p>
          <w:p w14:paraId="43144915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7C448849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6C2D5AAB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22FC3F98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42206C3B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lastRenderedPageBreak/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0E4EE3E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1994C66C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2017 pentru punerea în aplicare a prevederilor Legii nr. 288 din 16 decembrie 2016 privind funcţionarul public cu statut special din cadrul Ministerului Afacerilor Interne;</w:t>
            </w:r>
          </w:p>
          <w:p w14:paraId="7B8CE77C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şi salvatorilor Departamentului Situaţii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67998079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06E288B0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şi fumului al pompierilor si salvatorilor;</w:t>
            </w:r>
          </w:p>
          <w:p w14:paraId="3BA27C8A" w14:textId="77777777" w:rsidR="009E3E67" w:rsidRPr="00543321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543321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6390813D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2AFD1D1F" w14:textId="39BAE976" w:rsidR="00592D71" w:rsidRPr="00505A46" w:rsidRDefault="009E3E67" w:rsidP="009E3E67">
            <w:pPr>
              <w:pStyle w:val="cn"/>
              <w:ind w:left="720"/>
              <w:jc w:val="both"/>
              <w:rPr>
                <w:bCs/>
                <w:lang w:val="it-IT"/>
              </w:rPr>
            </w:pPr>
            <w:r w:rsidRPr="00A324D5">
              <w:rPr>
                <w:lang w:val="ro-RO" w:eastAsia="en-US"/>
              </w:rPr>
              <w:t xml:space="preserve">Ghid de prim ajutor în </w:t>
            </w:r>
            <w:proofErr w:type="spellStart"/>
            <w:r w:rsidRPr="00A324D5">
              <w:rPr>
                <w:lang w:val="ro-RO" w:eastAsia="en-US"/>
              </w:rPr>
              <w:t>urgenţe</w:t>
            </w:r>
            <w:proofErr w:type="spellEnd"/>
            <w:r w:rsidRPr="00A324D5">
              <w:rPr>
                <w:lang w:val="ro-RO" w:eastAsia="en-US"/>
              </w:rPr>
              <w:t xml:space="preserve"> medicale, </w:t>
            </w:r>
            <w:r>
              <w:rPr>
                <w:lang w:val="ro-RO" w:eastAsia="en-US"/>
              </w:rPr>
              <w:t>www.igsu.gov.md.</w:t>
            </w:r>
          </w:p>
        </w:tc>
      </w:tr>
    </w:tbl>
    <w:p w14:paraId="327771F1" w14:textId="77777777" w:rsidR="00A049B9" w:rsidRDefault="00A049B9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CA6141" w14:textId="77777777" w:rsidR="009927C3" w:rsidRDefault="009927C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0560562" w14:textId="77777777" w:rsidR="00D30019" w:rsidRDefault="00D30019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78B00266" w14:textId="5FE65B07" w:rsidR="009927C3" w:rsidRDefault="009927C3" w:rsidP="009927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358FCE4" w14:textId="77777777" w:rsidR="009927C3" w:rsidRPr="007224CE" w:rsidRDefault="009927C3" w:rsidP="009927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224CE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57EA77CA" w14:textId="77777777" w:rsidR="009927C3" w:rsidRPr="00851217" w:rsidRDefault="009927C3" w:rsidP="009927C3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9026CBA" w14:textId="77777777" w:rsidR="009927C3" w:rsidRPr="007224CE" w:rsidRDefault="009927C3" w:rsidP="00992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7224CE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7224CE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7224CE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p w14:paraId="4D120E6F" w14:textId="77777777" w:rsidR="009927C3" w:rsidRPr="007224CE" w:rsidRDefault="009927C3" w:rsidP="00992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4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977"/>
        <w:gridCol w:w="2835"/>
        <w:gridCol w:w="3543"/>
      </w:tblGrid>
      <w:tr w:rsidR="009927C3" w:rsidRPr="007224CE" w14:paraId="2B690E70" w14:textId="77777777" w:rsidTr="00583D87">
        <w:tc>
          <w:tcPr>
            <w:tcW w:w="562" w:type="dxa"/>
          </w:tcPr>
          <w:p w14:paraId="3246FDE4" w14:textId="77777777" w:rsidR="009927C3" w:rsidRPr="004324DF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6886DE61" w14:textId="77777777" w:rsidR="009927C3" w:rsidRPr="004324DF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90E252E" w14:textId="77777777" w:rsidR="009927C3" w:rsidRPr="004324DF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EB50571" w14:textId="77777777" w:rsidR="009927C3" w:rsidRPr="004324DF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119E8E94" w14:textId="77777777" w:rsidR="009927C3" w:rsidRPr="004324DF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3" w:type="dxa"/>
          </w:tcPr>
          <w:p w14:paraId="0AD08508" w14:textId="77777777" w:rsidR="009927C3" w:rsidRPr="007224CE" w:rsidRDefault="009927C3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7C8C3F65" w14:textId="77777777" w:rsidR="009927C3" w:rsidRPr="0038171A" w:rsidRDefault="009927C3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666CA" w:rsidRPr="007224CE" w14:paraId="46491573" w14:textId="77777777" w:rsidTr="00583D87">
        <w:tc>
          <w:tcPr>
            <w:tcW w:w="562" w:type="dxa"/>
          </w:tcPr>
          <w:p w14:paraId="785BA531" w14:textId="016DA622" w:rsidR="00E666CA" w:rsidRDefault="00E666CA" w:rsidP="00E666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985" w:type="dxa"/>
          </w:tcPr>
          <w:p w14:paraId="18BE1896" w14:textId="701A0667" w:rsidR="00E666CA" w:rsidRDefault="00E666CA" w:rsidP="00E666CA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6E94B799" w14:textId="77777777" w:rsidR="00E666CA" w:rsidRDefault="00E666CA" w:rsidP="00E666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finanțe al 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70032CA8" w14:textId="77777777" w:rsidR="00E666CA" w:rsidRPr="007224CE" w:rsidRDefault="00E666CA" w:rsidP="00E666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ED5F0DA" w14:textId="5A54530E" w:rsidR="00E666CA" w:rsidRPr="00322594" w:rsidRDefault="00E666CA" w:rsidP="00E666CA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>s. R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4BA04CD" w14:textId="77777777" w:rsidR="00E666CA" w:rsidRPr="007B7391" w:rsidRDefault="00E666CA" w:rsidP="00E66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2F56F2D5" w14:textId="6465F8BF" w:rsidR="00E666CA" w:rsidRPr="00E666CA" w:rsidRDefault="00E666CA" w:rsidP="00E666CA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92A15">
              <w:rPr>
                <w:rFonts w:ascii="Times New Roman" w:eastAsia="Times New Roman" w:hAnsi="Times New Roman" w:cs="Times New Roman"/>
                <w:lang w:val="it-IT"/>
              </w:rPr>
              <w:lastRenderedPageBreak/>
              <w:t>Organizarea</w:t>
            </w:r>
            <w:r w:rsidRPr="00692A15">
              <w:rPr>
                <w:rFonts w:ascii="Times New Roman" w:eastAsia="Times New Roman" w:hAnsi="Times New Roman" w:cs="Times New Roman"/>
                <w:spacing w:val="5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managementului</w:t>
            </w:r>
            <w:r w:rsidRPr="00692A15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financiar,</w:t>
            </w:r>
            <w:r w:rsidRPr="00692A15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evidentei</w:t>
            </w:r>
            <w:r w:rsidRPr="00692A15">
              <w:rPr>
                <w:rFonts w:ascii="Times New Roman" w:eastAsia="Times New Roman" w:hAnsi="Times New Roman" w:cs="Times New Roman"/>
                <w:spacing w:val="18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cantabile</w:t>
            </w:r>
            <w:r w:rsidRPr="00692A15">
              <w:rPr>
                <w:rFonts w:ascii="Times New Roman" w:eastAsia="Times New Roman" w:hAnsi="Times New Roman" w:cs="Times New Roman"/>
                <w:spacing w:val="20"/>
                <w:lang w:val="it-IT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ro-RO"/>
              </w:rPr>
              <w:t>ș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 xml:space="preserve">i </w:t>
            </w:r>
            <w:r w:rsidRPr="00692A15">
              <w:rPr>
                <w:rFonts w:ascii="Times New Roman" w:eastAsia="Times New Roman" w:hAnsi="Times New Roman" w:cs="Times New Roman"/>
                <w:spacing w:val="14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 xml:space="preserve">a </w:t>
            </w:r>
            <w:r w:rsidRPr="00692A15">
              <w:rPr>
                <w:rFonts w:ascii="Times New Roman" w:eastAsia="Times New Roman" w:hAnsi="Times New Roman" w:cs="Times New Roman"/>
                <w:spacing w:val="4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 xml:space="preserve">sistemului raportării </w:t>
            </w:r>
            <w:r w:rsidRPr="00692A15">
              <w:rPr>
                <w:rFonts w:ascii="Times New Roman" w:eastAsia="Times New Roman" w:hAnsi="Times New Roman" w:cs="Times New Roman"/>
                <w:spacing w:val="23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 xml:space="preserve">în </w:t>
            </w:r>
            <w:r w:rsidRPr="00692A15">
              <w:rPr>
                <w:rFonts w:ascii="Times New Roman" w:eastAsia="Times New Roman" w:hAnsi="Times New Roman" w:cs="Times New Roman"/>
                <w:spacing w:val="6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 xml:space="preserve">baza </w:t>
            </w:r>
            <w:r w:rsidRPr="00692A15">
              <w:rPr>
                <w:rFonts w:ascii="Times New Roman" w:eastAsia="Times New Roman" w:hAnsi="Times New Roman" w:cs="Times New Roman"/>
                <w:spacing w:val="7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Legii contabilitatii</w:t>
            </w:r>
            <w:r w:rsidRPr="00692A15">
              <w:rPr>
                <w:rFonts w:ascii="Times New Roman" w:eastAsia="Times New Roman" w:hAnsi="Times New Roman" w:cs="Times New Roman"/>
                <w:spacing w:val="53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nr.113-XVI</w:t>
            </w:r>
            <w:r w:rsidRPr="00692A15">
              <w:rPr>
                <w:rFonts w:ascii="Times New Roman" w:eastAsia="Times New Roman" w:hAnsi="Times New Roman" w:cs="Times New Roman"/>
                <w:spacing w:val="13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din</w:t>
            </w:r>
            <w:r w:rsidRPr="00692A15">
              <w:rPr>
                <w:rFonts w:ascii="Times New Roman" w:eastAsia="Times New Roman" w:hAnsi="Times New Roman" w:cs="Times New Roman"/>
                <w:spacing w:val="44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27</w:t>
            </w:r>
            <w:r w:rsidRPr="00692A15">
              <w:rPr>
                <w:rFonts w:ascii="Times New Roman" w:eastAsia="Times New Roman" w:hAnsi="Times New Roman" w:cs="Times New Roman"/>
                <w:spacing w:val="40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aprilie</w:t>
            </w:r>
            <w:r w:rsidRPr="00692A15">
              <w:rPr>
                <w:rFonts w:ascii="Times New Roman" w:eastAsia="Times New Roman" w:hAnsi="Times New Roman" w:cs="Times New Roman"/>
                <w:spacing w:val="36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2007,</w:t>
            </w:r>
            <w:r w:rsidRPr="00692A15">
              <w:rPr>
                <w:rFonts w:ascii="Times New Roman" w:eastAsia="Times New Roman" w:hAnsi="Times New Roman" w:cs="Times New Roman"/>
                <w:spacing w:val="40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formarea</w:t>
            </w:r>
            <w:r w:rsidRPr="00692A15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spacing w:val="1"/>
                <w:lang w:val="it-IT"/>
              </w:rPr>
              <w:lastRenderedPageBreak/>
              <w:t>ș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692A15">
              <w:rPr>
                <w:rFonts w:ascii="Times New Roman" w:eastAsia="Times New Roman" w:hAnsi="Times New Roman" w:cs="Times New Roman"/>
                <w:spacing w:val="49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mentinerea</w:t>
            </w:r>
            <w:r w:rsidRPr="00692A15">
              <w:rPr>
                <w:rFonts w:ascii="Times New Roman" w:eastAsia="Times New Roman" w:hAnsi="Times New Roman" w:cs="Times New Roman"/>
                <w:spacing w:val="7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angajatilor</w:t>
            </w:r>
            <w:r w:rsidRPr="00692A15">
              <w:rPr>
                <w:rFonts w:ascii="Times New Roman" w:eastAsia="Times New Roman" w:hAnsi="Times New Roman" w:cs="Times New Roman"/>
                <w:spacing w:val="47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serviciului</w:t>
            </w:r>
            <w:r w:rsidRPr="00692A15">
              <w:rPr>
                <w:rFonts w:ascii="Times New Roman" w:eastAsia="Times New Roman" w:hAnsi="Times New Roman" w:cs="Times New Roman"/>
                <w:spacing w:val="10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la</w:t>
            </w:r>
            <w:r w:rsidRPr="00692A15">
              <w:rPr>
                <w:rFonts w:ascii="Times New Roman" w:eastAsia="Times New Roman" w:hAnsi="Times New Roman" w:cs="Times New Roman"/>
                <w:spacing w:val="28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nivel</w:t>
            </w:r>
            <w:r w:rsidRPr="00692A15">
              <w:rPr>
                <w:rFonts w:ascii="Times New Roman" w:eastAsia="Times New Roman" w:hAnsi="Times New Roman" w:cs="Times New Roman"/>
                <w:w w:val="99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profesionist</w:t>
            </w:r>
            <w:r w:rsidRPr="00692A15">
              <w:rPr>
                <w:rFonts w:ascii="Times New Roman" w:eastAsia="Times New Roman" w:hAnsi="Times New Roman" w:cs="Times New Roman"/>
                <w:spacing w:val="46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în</w:t>
            </w:r>
            <w:r w:rsidRPr="00692A15">
              <w:rPr>
                <w:rFonts w:ascii="Times New Roman" w:eastAsia="Times New Roman" w:hAnsi="Times New Roman" w:cs="Times New Roman"/>
                <w:spacing w:val="18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vederea</w:t>
            </w:r>
            <w:r w:rsidRPr="00692A15">
              <w:rPr>
                <w:rFonts w:ascii="Times New Roman" w:eastAsia="Times New Roman" w:hAnsi="Times New Roman" w:cs="Times New Roman"/>
                <w:spacing w:val="42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realizarii</w:t>
            </w:r>
            <w:r w:rsidRPr="00692A15">
              <w:rPr>
                <w:rFonts w:ascii="Times New Roman" w:eastAsia="Times New Roman" w:hAnsi="Times New Roman" w:cs="Times New Roman"/>
                <w:spacing w:val="48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optime</w:t>
            </w:r>
            <w:r w:rsidRPr="00692A15">
              <w:rPr>
                <w:rFonts w:ascii="Times New Roman" w:eastAsia="Times New Roman" w:hAnsi="Times New Roman" w:cs="Times New Roman"/>
                <w:spacing w:val="31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692A15">
              <w:rPr>
                <w:rFonts w:ascii="Times New Roman" w:eastAsia="Times New Roman" w:hAnsi="Times New Roman" w:cs="Times New Roman"/>
                <w:spacing w:val="17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sarcinilor</w:t>
            </w:r>
            <w:r w:rsidRPr="00692A15">
              <w:rPr>
                <w:rFonts w:ascii="Times New Roman" w:eastAsia="Times New Roman" w:hAnsi="Times New Roman" w:cs="Times New Roman"/>
                <w:spacing w:val="32"/>
                <w:lang w:val="it-IT"/>
              </w:rPr>
              <w:t xml:space="preserve"> </w:t>
            </w:r>
            <w:r w:rsidRPr="00692A15">
              <w:rPr>
                <w:rFonts w:ascii="Times New Roman" w:eastAsia="Times New Roman" w:hAnsi="Times New Roman" w:cs="Times New Roman"/>
                <w:lang w:val="it-IT"/>
              </w:rPr>
              <w:t>Centrului</w:t>
            </w:r>
          </w:p>
        </w:tc>
        <w:tc>
          <w:tcPr>
            <w:tcW w:w="2835" w:type="dxa"/>
          </w:tcPr>
          <w:p w14:paraId="35AE9E5C" w14:textId="77777777" w:rsidR="00E666CA" w:rsidRDefault="00E666CA" w:rsidP="00E666C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196B383C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41590A79" w14:textId="77777777" w:rsidR="007224CE" w:rsidRDefault="007224CE" w:rsidP="007224C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F39209" w14:textId="77777777" w:rsidR="007224CE" w:rsidRP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.02.2026,  ora 16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  <w:p w14:paraId="5A3D6671" w14:textId="77777777" w:rsidR="00E666CA" w:rsidRPr="007224CE" w:rsidRDefault="00E666CA" w:rsidP="00E666C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3543" w:type="dxa"/>
          </w:tcPr>
          <w:p w14:paraId="008FEA13" w14:textId="77777777" w:rsidR="00E666CA" w:rsidRPr="00322594" w:rsidRDefault="00E666CA" w:rsidP="00E666CA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2C139965" w14:textId="77777777" w:rsidR="00E666CA" w:rsidRPr="007224CE" w:rsidRDefault="00E666CA" w:rsidP="00E666CA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06F07DE7" w14:textId="77777777" w:rsidR="00E666CA" w:rsidRPr="007224CE" w:rsidRDefault="00E666CA" w:rsidP="00E666CA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531ACD76" w14:textId="77777777" w:rsidR="00E666CA" w:rsidRPr="00322594" w:rsidRDefault="00E666CA" w:rsidP="00E666CA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lastRenderedPageBreak/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E666CA" w:rsidRPr="007224CE" w14:paraId="7EAE6BF4" w14:textId="77777777" w:rsidTr="00583D87">
        <w:tc>
          <w:tcPr>
            <w:tcW w:w="15304" w:type="dxa"/>
            <w:gridSpan w:val="6"/>
          </w:tcPr>
          <w:p w14:paraId="6334763F" w14:textId="77777777" w:rsidR="00533AAE" w:rsidRPr="00533AAE" w:rsidRDefault="00533AAE" w:rsidP="00533A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6B91CD79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7224CE">
              <w:rPr>
                <w:rFonts w:ascii="Times New Roman" w:hAnsi="Times New Roman"/>
                <w:sz w:val="24"/>
                <w:szCs w:val="24"/>
                <w:lang w:val="it-IT"/>
              </w:rPr>
              <w:t>Codul muncii al RM 154/2003</w:t>
            </w: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53847D0A" w14:textId="77777777" w:rsidR="00533AAE" w:rsidRPr="007224C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7224CE">
              <w:rPr>
                <w:rFonts w:ascii="Times New Roman" w:hAnsi="Times New Roman"/>
                <w:sz w:val="24"/>
                <w:szCs w:val="24"/>
                <w:lang w:val="it-IT"/>
              </w:rPr>
              <w:t>Legea nr.288/2016 privind funcţionarul public cu statut special din cadrul Ministerul Afacerilor Interne;</w:t>
            </w:r>
          </w:p>
          <w:p w14:paraId="1CBDB9A2" w14:textId="77777777" w:rsidR="00533AAE" w:rsidRPr="007224C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hAnsi="Times New Roman"/>
                <w:sz w:val="24"/>
                <w:szCs w:val="24"/>
                <w:lang w:val="it-IT"/>
              </w:rPr>
              <w:t>- Legea nr.158/2008 cu privire la funcţia publică şi statutul funcţionarului public;</w:t>
            </w:r>
          </w:p>
          <w:p w14:paraId="35873CE4" w14:textId="77777777" w:rsidR="00533AAE" w:rsidRPr="007224C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şi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2037C3C8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4C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165E980A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45FB7CF1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61A9C3D6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7224CE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nr.208 din 24.12.2015 „Privind Clasifica</w:t>
            </w:r>
            <w:r w:rsidRPr="00533AAE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48CAC368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7224C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rdinul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proofErr w:type="spellStart"/>
            <w:r w:rsidRPr="007224CE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7224C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nr.216 din 28.12. </w:t>
            </w: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2015 planul de conturi contabile în sistemul bugetar şi normele metodologice privind evidenţa contabilă şi raportarea financiară în sistemul bugetar;</w:t>
            </w:r>
          </w:p>
          <w:p w14:paraId="2F34264F" w14:textId="282B70C8" w:rsidR="00E666CA" w:rsidRPr="00505A46" w:rsidRDefault="00533AAE" w:rsidP="00533AAE">
            <w:pPr>
              <w:pStyle w:val="cn"/>
              <w:ind w:left="720"/>
              <w:jc w:val="both"/>
              <w:rPr>
                <w:bCs/>
                <w:lang w:val="it-IT"/>
              </w:rPr>
            </w:pPr>
            <w:r w:rsidRPr="00533AAE">
              <w:rPr>
                <w:lang w:val="it-IT"/>
              </w:rPr>
              <w:t>- O</w:t>
            </w:r>
            <w:proofErr w:type="spellStart"/>
            <w:r w:rsidRPr="00533AAE">
              <w:t>rdinul</w:t>
            </w:r>
            <w:proofErr w:type="spellEnd"/>
            <w:r w:rsidRPr="00533AAE">
              <w:t xml:space="preserve"> Ministerului finanțelor nr.60 din 29.05.2012 „Cu privire la aprobarea Regulamentului privind inventarierea</w:t>
            </w:r>
            <w:r w:rsidR="006616BE">
              <w:t>.</w:t>
            </w:r>
          </w:p>
        </w:tc>
      </w:tr>
    </w:tbl>
    <w:p w14:paraId="19A8B838" w14:textId="77777777" w:rsidR="009927C3" w:rsidRPr="007224CE" w:rsidRDefault="009927C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it-IT"/>
        </w:rPr>
      </w:pPr>
    </w:p>
    <w:p w14:paraId="5BC6EBCF" w14:textId="77777777" w:rsidR="00886F44" w:rsidRPr="007224CE" w:rsidRDefault="00886F44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it-IT"/>
        </w:rPr>
      </w:pPr>
    </w:p>
    <w:tbl>
      <w:tblPr>
        <w:tblStyle w:val="Tabelgril"/>
        <w:tblW w:w="15491" w:type="dxa"/>
        <w:tblLook w:val="04A0" w:firstRow="1" w:lastRow="0" w:firstColumn="1" w:lastColumn="0" w:noHBand="0" w:noVBand="1"/>
      </w:tblPr>
      <w:tblGrid>
        <w:gridCol w:w="562"/>
        <w:gridCol w:w="1843"/>
        <w:gridCol w:w="284"/>
        <w:gridCol w:w="3118"/>
        <w:gridCol w:w="284"/>
        <w:gridCol w:w="2693"/>
        <w:gridCol w:w="284"/>
        <w:gridCol w:w="2551"/>
        <w:gridCol w:w="143"/>
        <w:gridCol w:w="3589"/>
        <w:gridCol w:w="140"/>
      </w:tblGrid>
      <w:tr w:rsidR="00886F44" w:rsidRPr="007224CE" w14:paraId="35772996" w14:textId="77777777" w:rsidTr="00F220F8">
        <w:trPr>
          <w:gridAfter w:val="1"/>
          <w:wAfter w:w="140" w:type="dxa"/>
        </w:trPr>
        <w:tc>
          <w:tcPr>
            <w:tcW w:w="562" w:type="dxa"/>
          </w:tcPr>
          <w:p w14:paraId="51A2DEE2" w14:textId="77777777" w:rsidR="00886F44" w:rsidRPr="004324DF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04D740B" w14:textId="77777777" w:rsidR="00886F44" w:rsidRPr="004324DF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  <w:gridSpan w:val="2"/>
          </w:tcPr>
          <w:p w14:paraId="6669B212" w14:textId="77777777" w:rsidR="00886F44" w:rsidRPr="004324DF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  <w:gridSpan w:val="2"/>
          </w:tcPr>
          <w:p w14:paraId="7FE141EA" w14:textId="77777777" w:rsidR="00886F44" w:rsidRPr="004324DF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  <w:gridSpan w:val="2"/>
          </w:tcPr>
          <w:p w14:paraId="7FAAA4FE" w14:textId="77777777" w:rsidR="00886F44" w:rsidRPr="004324DF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732" w:type="dxa"/>
            <w:gridSpan w:val="2"/>
          </w:tcPr>
          <w:p w14:paraId="50888F32" w14:textId="77777777" w:rsidR="00886F44" w:rsidRPr="007224CE" w:rsidRDefault="00886F44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1EA52CC" w14:textId="77777777" w:rsidR="00886F44" w:rsidRPr="0038171A" w:rsidRDefault="00886F44" w:rsidP="00DA6FE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6B0B" w:rsidRPr="007224CE" w14:paraId="387827C4" w14:textId="77777777" w:rsidTr="00F220F8">
        <w:trPr>
          <w:gridAfter w:val="1"/>
          <w:wAfter w:w="140" w:type="dxa"/>
        </w:trPr>
        <w:tc>
          <w:tcPr>
            <w:tcW w:w="562" w:type="dxa"/>
          </w:tcPr>
          <w:p w14:paraId="3783324A" w14:textId="49FB8F1C" w:rsidR="00F36B0B" w:rsidRDefault="00F36B0B" w:rsidP="00F36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</w:tcPr>
          <w:p w14:paraId="3F2D0FB5" w14:textId="77777777" w:rsidR="00F36B0B" w:rsidRDefault="00F36B0B" w:rsidP="00F36B0B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  <w:gridSpan w:val="2"/>
          </w:tcPr>
          <w:p w14:paraId="1E675DA4" w14:textId="77777777" w:rsidR="00F36B0B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logistic al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</w:p>
          <w:p w14:paraId="15787248" w14:textId="77777777" w:rsidR="00F36B0B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BE391" w14:textId="7E802781" w:rsidR="00F36B0B" w:rsidRPr="007B7391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bd. Cuza Vodă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gridSpan w:val="2"/>
          </w:tcPr>
          <w:p w14:paraId="09C602E7" w14:textId="2BEB8048" w:rsidR="00F36B0B" w:rsidRPr="00E666CA" w:rsidRDefault="00F36B0B" w:rsidP="00F36B0B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Evidenţa şi modul de exploatare a bunurilor materiale în scopul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menţineii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 în stare perfectă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funcţionare</w:t>
            </w:r>
            <w:proofErr w:type="spellEnd"/>
          </w:p>
        </w:tc>
        <w:tc>
          <w:tcPr>
            <w:tcW w:w="2835" w:type="dxa"/>
            <w:gridSpan w:val="2"/>
          </w:tcPr>
          <w:p w14:paraId="0C6A0780" w14:textId="77777777" w:rsidR="00F36B0B" w:rsidRDefault="00F36B0B" w:rsidP="00F36B0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57064DF8" w14:textId="77777777" w:rsid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27EA17D5" w14:textId="77777777" w:rsidR="007224CE" w:rsidRDefault="007224CE" w:rsidP="007224C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5AA12011" w14:textId="77777777" w:rsidR="007224CE" w:rsidRPr="007224CE" w:rsidRDefault="007224CE" w:rsidP="007224C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.02.2026,  ora 16</w:t>
            </w:r>
            <w:r w:rsidRPr="007224CE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  <w:p w14:paraId="728E8DDB" w14:textId="77777777" w:rsidR="00F36B0B" w:rsidRPr="007224CE" w:rsidRDefault="00F36B0B" w:rsidP="00F36B0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3732" w:type="dxa"/>
            <w:gridSpan w:val="2"/>
          </w:tcPr>
          <w:p w14:paraId="61E51207" w14:textId="77777777" w:rsidR="00F36B0B" w:rsidRPr="00322594" w:rsidRDefault="00F36B0B" w:rsidP="00F36B0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BF17FF8" w14:textId="77777777" w:rsidR="00F36B0B" w:rsidRPr="007224CE" w:rsidRDefault="00F36B0B" w:rsidP="00F36B0B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6AC7165F" w14:textId="77777777" w:rsidR="00F36B0B" w:rsidRPr="007224CE" w:rsidRDefault="00F36B0B" w:rsidP="00F36B0B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Persoana de contact: </w:t>
            </w:r>
            <w:r w:rsidRPr="007224CE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72B22D13" w14:textId="77777777" w:rsidR="00F36B0B" w:rsidRPr="00322594" w:rsidRDefault="00F36B0B" w:rsidP="00F36B0B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7224CE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36B0B" w:rsidRPr="007224CE" w14:paraId="1E4F6F4C" w14:textId="77777777" w:rsidTr="00F220F8">
        <w:trPr>
          <w:gridAfter w:val="1"/>
          <w:wAfter w:w="140" w:type="dxa"/>
        </w:trPr>
        <w:tc>
          <w:tcPr>
            <w:tcW w:w="15351" w:type="dxa"/>
            <w:gridSpan w:val="10"/>
          </w:tcPr>
          <w:p w14:paraId="1CC7830E" w14:textId="77777777" w:rsidR="00304D79" w:rsidRPr="00304D79" w:rsidRDefault="00304D79" w:rsidP="00304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</w:t>
            </w:r>
          </w:p>
          <w:p w14:paraId="2CFB5F24" w14:textId="77777777" w:rsidR="00304D79" w:rsidRPr="00304D79" w:rsidRDefault="00304D79" w:rsidP="00304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(domeniul logistic)</w:t>
            </w:r>
          </w:p>
          <w:p w14:paraId="6DECA162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Legea nr.288/2016 privind funcţionarul public cu statut special din cadrul Ministerului Afacerilor Interne;</w:t>
            </w:r>
          </w:p>
          <w:p w14:paraId="29F83173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nr.131/2015 privind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achiziţiile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publice;</w:t>
            </w:r>
          </w:p>
          <w:p w14:paraId="318DE491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nr.460/2017 pentru punerea în aplicare a Legii nr.288/2016 privind funcţionarul public cu statut special din cadrul Ministerului Afacerilor Interne;</w:t>
            </w:r>
          </w:p>
          <w:p w14:paraId="2B8655B6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</w:t>
            </w:r>
            <w:bookmarkStart w:id="0" w:name="_Hlk153204419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achiziţiile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de valoare mică;</w:t>
            </w:r>
          </w:p>
          <w:p w14:paraId="5B92E216" w14:textId="1A55299B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nr.778/2020 pentru aprobarea Regulamentului cu privire la întocmirea şi păstrarea dosarului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achiziţiei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CF83DF6" w14:textId="7287B829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nr.500/1998 despre aprobarea Regulamentului privind casarea bunurilor uzate, raportate la mijloacele fixe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A6DC349" w14:textId="2BEE07AB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nr.901/2015 pentru aprobarea Regulamentului cu privire la modul de transmitere a bunurilor proprietate publică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FE994D8" w14:textId="1B257D1C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nr.676/2023 privind aprobarea normelor, descrierii şi modelului uniformei funcţionarului public cu statut special din cadrul Ministerului Afacerilor Interne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1E863943" w14:textId="5C27C628" w:rsidR="00F36B0B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Ordinul IGSU nr.170 din 18 septembrie 2024 Cu privire la aprobarea Regulamentului cu privire la gestionarea patrimoniului Inspectoratului General pentru Situații de Urgență al MAI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8D1E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www.igsu.gov.md</w:t>
            </w:r>
          </w:p>
        </w:tc>
      </w:tr>
      <w:tr w:rsidR="00F220F8" w:rsidRPr="00F20C46" w14:paraId="71562093" w14:textId="77777777" w:rsidTr="00F220F8">
        <w:tc>
          <w:tcPr>
            <w:tcW w:w="562" w:type="dxa"/>
          </w:tcPr>
          <w:p w14:paraId="478A8335" w14:textId="77777777" w:rsidR="00F220F8" w:rsidRPr="004324DF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 xml:space="preserve">Nr. </w:t>
            </w:r>
          </w:p>
        </w:tc>
        <w:tc>
          <w:tcPr>
            <w:tcW w:w="2127" w:type="dxa"/>
            <w:gridSpan w:val="2"/>
          </w:tcPr>
          <w:p w14:paraId="27D8641E" w14:textId="77777777" w:rsidR="00F220F8" w:rsidRPr="004324DF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  <w:gridSpan w:val="2"/>
          </w:tcPr>
          <w:p w14:paraId="3385A0E6" w14:textId="77777777" w:rsidR="00F220F8" w:rsidRPr="004324DF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  <w:gridSpan w:val="2"/>
          </w:tcPr>
          <w:p w14:paraId="287A74C4" w14:textId="77777777" w:rsidR="00F220F8" w:rsidRPr="004324DF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  <w:gridSpan w:val="2"/>
          </w:tcPr>
          <w:p w14:paraId="7CDE5B8A" w14:textId="77777777" w:rsidR="00F220F8" w:rsidRPr="004324DF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729" w:type="dxa"/>
            <w:gridSpan w:val="2"/>
          </w:tcPr>
          <w:p w14:paraId="796AC340" w14:textId="77777777" w:rsidR="00F220F8" w:rsidRPr="007B2723" w:rsidRDefault="00F220F8" w:rsidP="004F6C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FD173DA" w14:textId="77777777" w:rsidR="00F220F8" w:rsidRPr="0038171A" w:rsidRDefault="00F220F8" w:rsidP="004F6C1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220F8" w:rsidRPr="005426D0" w14:paraId="68D5E130" w14:textId="77777777" w:rsidTr="00F220F8">
        <w:tc>
          <w:tcPr>
            <w:tcW w:w="562" w:type="dxa"/>
          </w:tcPr>
          <w:p w14:paraId="102C91F4" w14:textId="77777777" w:rsidR="00F220F8" w:rsidRDefault="00F220F8" w:rsidP="004F6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  <w:gridSpan w:val="2"/>
          </w:tcPr>
          <w:p w14:paraId="18E7FC82" w14:textId="77777777" w:rsidR="00F220F8" w:rsidRDefault="00F220F8" w:rsidP="004F6C17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402" w:type="dxa"/>
            <w:gridSpan w:val="2"/>
          </w:tcPr>
          <w:p w14:paraId="16CEC9EA" w14:textId="77777777" w:rsidR="00F220F8" w:rsidRPr="007D3343" w:rsidRDefault="00F220F8" w:rsidP="004F6C1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pregătire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intervenţii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1624E2D0" w14:textId="77777777" w:rsidR="00F220F8" w:rsidRPr="001B0429" w:rsidRDefault="00F220F8" w:rsidP="004F6C17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201E0002" w14:textId="77777777" w:rsidR="00F220F8" w:rsidRPr="001B0429" w:rsidRDefault="00F220F8" w:rsidP="004F6C17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39F31A47" w14:textId="77777777" w:rsidR="00F220F8" w:rsidRPr="001B0429" w:rsidRDefault="00F220F8" w:rsidP="004F6C17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3E43EF8F" w14:textId="77777777" w:rsidR="00F220F8" w:rsidRPr="001B0429" w:rsidRDefault="00F220F8" w:rsidP="004F6C17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4F4A0BA7" w14:textId="77777777" w:rsidR="00F220F8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66ADE32D" w14:textId="77777777" w:rsidR="00F220F8" w:rsidRPr="00EE298F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Iacob Hîncu, 3</w:t>
            </w:r>
          </w:p>
          <w:p w14:paraId="37F12990" w14:textId="77777777" w:rsidR="00F220F8" w:rsidRPr="00E75168" w:rsidRDefault="00F220F8" w:rsidP="004F6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gridSpan w:val="2"/>
          </w:tcPr>
          <w:p w14:paraId="39D44896" w14:textId="77777777" w:rsidR="00F220F8" w:rsidRPr="00F2397A" w:rsidRDefault="00F220F8" w:rsidP="004F6C17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Organizarea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activităţii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Serviciul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ui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pregătire intervenţie şi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implimentarea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politicilor de pregătire şi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îmbunătăţire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 domeniului de intervenţie în cadrul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 mun.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şi subdiviziunilor subordonate, precum şi controlul îndeplinirii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activităţilor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planificate.</w:t>
            </w:r>
          </w:p>
        </w:tc>
        <w:tc>
          <w:tcPr>
            <w:tcW w:w="2694" w:type="dxa"/>
            <w:gridSpan w:val="2"/>
          </w:tcPr>
          <w:p w14:paraId="1FF18314" w14:textId="77777777" w:rsidR="00F220F8" w:rsidRDefault="00F220F8" w:rsidP="004F6C1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3E4EEA" w14:textId="77777777" w:rsidR="00F220F8" w:rsidRPr="009D1796" w:rsidRDefault="00F220F8" w:rsidP="004F6C17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09.02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,  ora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646626C5" w14:textId="77777777" w:rsidR="00F220F8" w:rsidRDefault="00F220F8" w:rsidP="004F6C1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  <w:gridSpan w:val="2"/>
          </w:tcPr>
          <w:p w14:paraId="3DEA4382" w14:textId="77777777" w:rsidR="00F220F8" w:rsidRDefault="00F220F8" w:rsidP="004F6C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5F2CBA4D" w14:textId="77777777" w:rsidR="00F220F8" w:rsidRPr="003870AC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51F40146" w14:textId="77777777" w:rsidR="00F220F8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8E1CA73" w14:textId="77777777" w:rsidR="00F220F8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9206676" w14:textId="77777777" w:rsidR="00F220F8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B0777AF" w14:textId="77777777" w:rsidR="00F220F8" w:rsidRDefault="00F220F8" w:rsidP="004F6C1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88764F7" w14:textId="77777777" w:rsidR="00F220F8" w:rsidRPr="005F36C1" w:rsidRDefault="00F220F8" w:rsidP="004F6C17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0D394342" w14:textId="77777777" w:rsidR="00F220F8" w:rsidRPr="00322594" w:rsidRDefault="00F220F8" w:rsidP="004F6C17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  <w:tr w:rsidR="00F220F8" w:rsidRPr="0073168D" w14:paraId="23848AE4" w14:textId="77777777" w:rsidTr="00F220F8">
        <w:tc>
          <w:tcPr>
            <w:tcW w:w="15491" w:type="dxa"/>
            <w:gridSpan w:val="11"/>
          </w:tcPr>
          <w:p w14:paraId="702CE0B3" w14:textId="77777777" w:rsidR="00F220F8" w:rsidRDefault="00F220F8" w:rsidP="004F6C17">
            <w:pPr>
              <w:pStyle w:val="cn"/>
              <w:ind w:left="720"/>
              <w:rPr>
                <w:b/>
                <w:bCs/>
                <w:u w:val="single"/>
                <w:lang w:val="ro-RO"/>
              </w:rPr>
            </w:pPr>
          </w:p>
          <w:p w14:paraId="04B5334F" w14:textId="77777777" w:rsidR="00F220F8" w:rsidRDefault="00F220F8" w:rsidP="004F6C17">
            <w:pPr>
              <w:pStyle w:val="cn"/>
              <w:ind w:left="720"/>
              <w:rPr>
                <w:b/>
                <w:bCs/>
                <w:u w:val="single"/>
                <w:lang w:val="ro-RO"/>
              </w:rPr>
            </w:pPr>
          </w:p>
          <w:p w14:paraId="367E0FFA" w14:textId="77777777" w:rsidR="00F220F8" w:rsidRDefault="00F220F8" w:rsidP="004F6C17">
            <w:pPr>
              <w:pStyle w:val="cn"/>
              <w:ind w:left="720"/>
              <w:rPr>
                <w:b/>
                <w:bCs/>
                <w:u w:val="single"/>
                <w:lang w:val="ro-RO"/>
              </w:rPr>
            </w:pPr>
            <w:r w:rsidRPr="0052100E">
              <w:rPr>
                <w:b/>
                <w:bCs/>
                <w:u w:val="single"/>
                <w:lang w:val="ro-RO"/>
              </w:rPr>
              <w:t>Bibliografia concursului</w:t>
            </w:r>
          </w:p>
          <w:p w14:paraId="1D37BF17" w14:textId="77777777" w:rsidR="00F220F8" w:rsidRPr="0052100E" w:rsidRDefault="00F220F8" w:rsidP="004F6C17">
            <w:pPr>
              <w:pStyle w:val="cn"/>
              <w:ind w:left="720"/>
              <w:rPr>
                <w:b/>
                <w:bCs/>
                <w:u w:val="single"/>
                <w:lang w:val="ro-RO"/>
              </w:rPr>
            </w:pPr>
          </w:p>
          <w:p w14:paraId="7EAAA3F4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 93 din 05.04.2007 Inspectoratului General pentru Situații de Urgență;</w:t>
            </w:r>
          </w:p>
          <w:p w14:paraId="7360B63B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nr.267 din 09-11-1994 privind apărarea împotriva incendiilor;</w:t>
            </w:r>
          </w:p>
          <w:p w14:paraId="603BF988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7E0B93C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Ordinul nr. 266 din 10.11.2004 cu privire la aprobarea Regulamentului privind acțiunile de luptă a pompierilor şi salvatorilor Departamentului Situații Excepționale la lichidarea consecințelor situațiilor excepționale;</w:t>
            </w:r>
          </w:p>
          <w:p w14:paraId="032F230B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Ordinul  nr. 277 din 01.12.2004 cu privire la aprobarea Regulamentului de serviciu al pompierilor și salvatorilor;</w:t>
            </w:r>
          </w:p>
          <w:p w14:paraId="4260145E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hyperlink r:id="rId9" w:tgtFrame="_blank" w:history="1">
              <w:r w:rsidRPr="000A246C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0A246C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7AFA3CE7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r w:rsidRPr="000A246C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6CFF6A31" w14:textId="77777777" w:rsidR="00F220F8" w:rsidRPr="000A246C" w:rsidRDefault="00F220F8" w:rsidP="00F220F8">
            <w:pPr>
              <w:pStyle w:val="cn"/>
              <w:numPr>
                <w:ilvl w:val="0"/>
                <w:numId w:val="13"/>
              </w:numPr>
              <w:jc w:val="both"/>
              <w:rPr>
                <w:lang w:val="ro-RO" w:eastAsia="en-US"/>
              </w:rPr>
            </w:pPr>
            <w:r w:rsidRPr="000A246C">
              <w:rPr>
                <w:lang w:val="ro-RO" w:eastAsia="en-US"/>
              </w:rPr>
              <w:t>Ghid de prim ajutor în urgențe medicale.</w:t>
            </w:r>
          </w:p>
          <w:p w14:paraId="1D99D8CF" w14:textId="77777777" w:rsidR="00F220F8" w:rsidRDefault="00F220F8" w:rsidP="004F6C17">
            <w:pPr>
              <w:ind w:firstLine="708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val="ro-RO"/>
              </w:rPr>
            </w:pPr>
            <w:hyperlink r:id="rId10" w:history="1">
              <w:r w:rsidRPr="007300F1"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www.d</w:t>
              </w:r>
              <w:r w:rsidRPr="007300F1">
                <w:rPr>
                  <w:rStyle w:val="Hyperlink"/>
                  <w:b/>
                  <w:bCs/>
                  <w:sz w:val="24"/>
                  <w:szCs w:val="24"/>
                </w:rPr>
                <w:t>s</w:t>
              </w:r>
              <w:r w:rsidRPr="007300F1"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e.md</w:t>
              </w:r>
            </w:hyperlink>
          </w:p>
          <w:p w14:paraId="321F2C2E" w14:textId="77777777" w:rsidR="00F220F8" w:rsidRPr="0052100E" w:rsidRDefault="00F220F8" w:rsidP="004F6C17">
            <w:pPr>
              <w:pStyle w:val="cn"/>
              <w:ind w:left="720"/>
              <w:jc w:val="left"/>
              <w:rPr>
                <w:b/>
                <w:bCs/>
                <w:u w:val="single"/>
                <w:lang w:val="ro-RO"/>
              </w:rPr>
            </w:pPr>
          </w:p>
          <w:p w14:paraId="70EEB647" w14:textId="77777777" w:rsidR="00F220F8" w:rsidRPr="0052100E" w:rsidRDefault="00F220F8" w:rsidP="004F6C17">
            <w:pPr>
              <w:pStyle w:val="cn"/>
              <w:jc w:val="both"/>
              <w:rPr>
                <w:bCs/>
                <w:lang w:val="ro-RO"/>
              </w:rPr>
            </w:pPr>
          </w:p>
          <w:p w14:paraId="10D3AC45" w14:textId="77777777" w:rsidR="00F220F8" w:rsidRPr="0052100E" w:rsidRDefault="00F220F8" w:rsidP="004F6C17">
            <w:pPr>
              <w:pStyle w:val="cn"/>
              <w:ind w:left="720"/>
              <w:jc w:val="both"/>
              <w:rPr>
                <w:bCs/>
                <w:lang w:val="ro-RO"/>
              </w:rPr>
            </w:pPr>
          </w:p>
        </w:tc>
      </w:tr>
    </w:tbl>
    <w:p w14:paraId="3DC88BAA" w14:textId="77777777" w:rsidR="00886F44" w:rsidRPr="007224CE" w:rsidRDefault="00886F44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it-IT"/>
        </w:rPr>
      </w:pPr>
    </w:p>
    <w:sectPr w:rsidR="00886F44" w:rsidRPr="007224CE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63DF6"/>
    <w:multiLevelType w:val="hybridMultilevel"/>
    <w:tmpl w:val="797C2C98"/>
    <w:lvl w:ilvl="0" w:tplc="B11AD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3"/>
  </w:num>
  <w:num w:numId="2" w16cid:durableId="594050625">
    <w:abstractNumId w:val="2"/>
  </w:num>
  <w:num w:numId="3" w16cid:durableId="1163278098">
    <w:abstractNumId w:val="11"/>
  </w:num>
  <w:num w:numId="4" w16cid:durableId="708914736">
    <w:abstractNumId w:val="10"/>
  </w:num>
  <w:num w:numId="5" w16cid:durableId="185676068">
    <w:abstractNumId w:val="8"/>
  </w:num>
  <w:num w:numId="6" w16cid:durableId="1381519152">
    <w:abstractNumId w:val="9"/>
  </w:num>
  <w:num w:numId="7" w16cid:durableId="356932471">
    <w:abstractNumId w:val="6"/>
  </w:num>
  <w:num w:numId="8" w16cid:durableId="424694344">
    <w:abstractNumId w:val="0"/>
  </w:num>
  <w:num w:numId="9" w16cid:durableId="1197160950">
    <w:abstractNumId w:val="7"/>
  </w:num>
  <w:num w:numId="10" w16cid:durableId="1466506978">
    <w:abstractNumId w:val="1"/>
  </w:num>
  <w:num w:numId="11" w16cid:durableId="1847013897">
    <w:abstractNumId w:val="5"/>
  </w:num>
  <w:num w:numId="12" w16cid:durableId="1220242726">
    <w:abstractNumId w:val="4"/>
  </w:num>
  <w:num w:numId="13" w16cid:durableId="13173392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4906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83D87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2A15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24CE"/>
    <w:rsid w:val="00723425"/>
    <w:rsid w:val="0072487B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B6BB7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247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20F8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Normal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Normal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acte-normative/Ordin%20IGSU%20nr.169%20din%2011.11.202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se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e.md/sites/default/files/pdf/acte-normative/Ordin%20IGSU%20nr.169%20din%2011.11.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7</cp:revision>
  <cp:lastPrinted>2022-10-25T08:26:00Z</cp:lastPrinted>
  <dcterms:created xsi:type="dcterms:W3CDTF">2026-01-27T08:14:00Z</dcterms:created>
  <dcterms:modified xsi:type="dcterms:W3CDTF">2026-01-27T08:25:00Z</dcterms:modified>
</cp:coreProperties>
</file>