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09391EE" w:rsidR="00D71195" w:rsidRDefault="004D0BD2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4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50B371C3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A4DC728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14DE3A4D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2C6F5DB0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4769E7E1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4F16C65" w14:textId="77777777" w:rsidR="00672CD3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7CD8275E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672CD3" w:rsidRPr="00672CD3" w14:paraId="007F5C28" w14:textId="77777777" w:rsidTr="00C53AA0">
        <w:tc>
          <w:tcPr>
            <w:tcW w:w="2376" w:type="dxa"/>
          </w:tcPr>
          <w:p w14:paraId="0B6B48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2DD09EC5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3767B7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20FEF01F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6F4EA189" w14:textId="77777777" w:rsidR="00672CD3" w:rsidRPr="00B71FF8" w:rsidRDefault="00672CD3" w:rsidP="00C53AA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6980187" w14:textId="77777777" w:rsidR="00672CD3" w:rsidRPr="0038171A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72CD3" w:rsidRPr="00672CD3" w14:paraId="2545E4DA" w14:textId="77777777" w:rsidTr="00C53AA0">
        <w:tc>
          <w:tcPr>
            <w:tcW w:w="2376" w:type="dxa"/>
          </w:tcPr>
          <w:p w14:paraId="30FF2247" w14:textId="77777777" w:rsidR="00672CD3" w:rsidRPr="00B17052" w:rsidRDefault="00672CD3" w:rsidP="00C53AA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Ofițer </w:t>
            </w:r>
          </w:p>
          <w:p w14:paraId="46D2DD07" w14:textId="77777777" w:rsidR="00672CD3" w:rsidRPr="00B17052" w:rsidRDefault="00672CD3" w:rsidP="00C53AA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MD"/>
              </w:rPr>
            </w:pPr>
          </w:p>
          <w:p w14:paraId="227635B7" w14:textId="77777777" w:rsidR="00672CD3" w:rsidRPr="000321DF" w:rsidRDefault="00672CD3" w:rsidP="00C53AA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2BF7794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prevenție al Secției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Direcției situații excepționale mun. Bălți</w:t>
            </w:r>
          </w:p>
          <w:p w14:paraId="4FF59EA5" w14:textId="77777777" w:rsidR="00672CD3" w:rsidRDefault="00672CD3" w:rsidP="00C53AA0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1CD3FCB5" w14:textId="77777777" w:rsidR="00672CD3" w:rsidRDefault="00672CD3" w:rsidP="00C53AA0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,</w:t>
            </w:r>
          </w:p>
          <w:p w14:paraId="0B925A4A" w14:textId="77777777" w:rsidR="00672CD3" w:rsidRPr="00174745" w:rsidRDefault="00672CD3" w:rsidP="00C53A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str.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Dostoevschi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3402" w:type="dxa"/>
          </w:tcPr>
          <w:p w14:paraId="089E74A5" w14:textId="77777777" w:rsidR="00672CD3" w:rsidRPr="00982F03" w:rsidRDefault="00672CD3" w:rsidP="00C53AA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administraţiei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desfăşurarea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activităţii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prevenire în teritoriu deservit, participarea la lichidarea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situaţiilor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urgenţă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/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excepţionale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, precum şi 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consecinţelor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acestora, inclusiv în mediu nociv pentru respirație</w:t>
            </w: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.</w:t>
            </w:r>
          </w:p>
        </w:tc>
        <w:tc>
          <w:tcPr>
            <w:tcW w:w="2722" w:type="dxa"/>
          </w:tcPr>
          <w:p w14:paraId="41ED946A" w14:textId="77777777" w:rsidR="00672CD3" w:rsidRDefault="00672CD3" w:rsidP="00C53AA0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5263825E" w14:textId="24D40476" w:rsidR="00672CD3" w:rsidRPr="00D1642A" w:rsidRDefault="00672CD3" w:rsidP="00C53AA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28.01.2026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4E8D4483" w14:textId="77777777" w:rsidR="00672CD3" w:rsidRPr="00B17052" w:rsidRDefault="00672CD3" w:rsidP="00C53AA0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1C8A32CE" w14:textId="77777777" w:rsidR="00672CD3" w:rsidRDefault="00672CD3" w:rsidP="00C53AA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7CCBBACF" w14:textId="77777777" w:rsidR="00672CD3" w:rsidRPr="00B17052" w:rsidRDefault="00672CD3" w:rsidP="00C53AA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2ECA9D52" w14:textId="77777777" w:rsidR="00672CD3" w:rsidRPr="00B17052" w:rsidRDefault="00672CD3" w:rsidP="00C53AA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2E023206" w14:textId="77777777" w:rsidR="00672CD3" w:rsidRPr="00174745" w:rsidRDefault="00672CD3" w:rsidP="00C53AA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9397725</w:t>
            </w:r>
          </w:p>
        </w:tc>
      </w:tr>
      <w:tr w:rsidR="00672CD3" w:rsidRPr="00E43AD6" w14:paraId="2E287D3A" w14:textId="77777777" w:rsidTr="00C53AA0">
        <w:tc>
          <w:tcPr>
            <w:tcW w:w="15307" w:type="dxa"/>
            <w:gridSpan w:val="5"/>
          </w:tcPr>
          <w:p w14:paraId="313F7158" w14:textId="77777777" w:rsidR="00672CD3" w:rsidRDefault="00672CD3" w:rsidP="00672C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EC17B4" w14:textId="77777777" w:rsidR="00672CD3" w:rsidRPr="00824427" w:rsidRDefault="00672CD3" w:rsidP="00C53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21565352" w14:textId="77777777" w:rsidR="00672CD3" w:rsidRDefault="00672CD3" w:rsidP="00C53AA0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7C73F18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01CC2815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- Legea nr.271-XIII din 09.11.1994 cu privire la protecția civilă;</w:t>
            </w:r>
          </w:p>
          <w:p w14:paraId="102A4F20" w14:textId="77777777" w:rsidR="00672CD3" w:rsidRDefault="00672CD3" w:rsidP="00C53AA0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>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422A3985" w14:textId="77777777" w:rsidR="00672CD3" w:rsidRDefault="00672CD3" w:rsidP="00C53AA0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8ED8B51" w14:textId="77777777" w:rsidR="00672CD3" w:rsidRDefault="00672CD3" w:rsidP="00C53AA0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7C0680C2" w14:textId="77777777" w:rsidR="00672CD3" w:rsidRDefault="00672CD3" w:rsidP="00C53AA0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2086869E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63E723DA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355754D6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725E6C22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B673EC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32DF22E5" w14:textId="77777777" w:rsidR="00672CD3" w:rsidRDefault="00672CD3" w:rsidP="00C53AA0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354A682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028BA75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42A0A84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6376B2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0ACD542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0222D6BB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0D9486FF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160BADE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591BF393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205C3B20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0D55039C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11782801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49A367E8" w14:textId="77777777" w:rsidR="00672CD3" w:rsidRDefault="00672CD3" w:rsidP="00C53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1CD61C4E" w14:textId="77777777" w:rsidR="00672CD3" w:rsidRDefault="00672CD3" w:rsidP="00C53AA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5D089AD3" w14:textId="77777777" w:rsidR="00672CD3" w:rsidRPr="007B3845" w:rsidRDefault="00672CD3" w:rsidP="00C53AA0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F1B7FFE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2DF2FC57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75E9656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CBE8EB6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9E76DD6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2771688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3F79921" w14:textId="77777777" w:rsidR="00C20FC7" w:rsidRDefault="00C20FC7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4E908DB9" w14:textId="77777777" w:rsidR="00672CD3" w:rsidRPr="001519FB" w:rsidRDefault="00672CD3" w:rsidP="00672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A99DCAF" w14:textId="77777777" w:rsidR="00672CD3" w:rsidRPr="001E5AEC" w:rsidRDefault="00672CD3" w:rsidP="00672CD3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E5AE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(imediat superioară </w:t>
      </w:r>
      <w:proofErr w:type="spellStart"/>
      <w:r w:rsidRPr="001E5AEC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funcţiei</w:t>
      </w:r>
      <w:proofErr w:type="spellEnd"/>
      <w:r w:rsidRPr="001E5AE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nivel B03)</w:t>
      </w:r>
    </w:p>
    <w:p w14:paraId="1BB3DD53" w14:textId="77777777" w:rsidR="00672CD3" w:rsidRPr="00851217" w:rsidRDefault="00672CD3" w:rsidP="00672CD3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E3E7205" w14:textId="77777777" w:rsidR="00672CD3" w:rsidRDefault="00672CD3" w:rsidP="00672CD3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CA924DA" w14:textId="77777777" w:rsidR="00672CD3" w:rsidRPr="00B36761" w:rsidRDefault="00672CD3" w:rsidP="00672CD3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4826E65E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62FAB1C8" w14:textId="74BBF91B" w:rsidR="008559DC" w:rsidRPr="00F96D96" w:rsidRDefault="008559DC" w:rsidP="008559DC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Tabelgril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1213E6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C573E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13E6" w:rsidRPr="00A42953" w14:paraId="0E805D33" w14:textId="77777777" w:rsidTr="007B7391">
        <w:tc>
          <w:tcPr>
            <w:tcW w:w="562" w:type="dxa"/>
          </w:tcPr>
          <w:p w14:paraId="77C2A04B" w14:textId="6B975771" w:rsidR="001213E6" w:rsidRDefault="001213E6" w:rsidP="00121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5CBC8BEA" w14:textId="77777777" w:rsidR="001213E6" w:rsidRPr="00D34E67" w:rsidRDefault="001213E6" w:rsidP="001213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08C65FF" w14:textId="32605B4B" w:rsidR="001213E6" w:rsidRDefault="001213E6" w:rsidP="001213E6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8506F04" w14:textId="77777777" w:rsidR="001213E6" w:rsidRPr="00D34E67" w:rsidRDefault="001213E6" w:rsidP="001213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finanţe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Direcției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situații excepționale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50BFD294" w14:textId="77777777" w:rsidR="001213E6" w:rsidRPr="00D34E67" w:rsidRDefault="001213E6" w:rsidP="001213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53187C8" w14:textId="69FE67B5" w:rsidR="001213E6" w:rsidRPr="004C573E" w:rsidRDefault="001213E6" w:rsidP="00121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Căușeni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</w:tc>
        <w:tc>
          <w:tcPr>
            <w:tcW w:w="2977" w:type="dxa"/>
          </w:tcPr>
          <w:p w14:paraId="7832DA92" w14:textId="5FDD72D4" w:rsidR="001213E6" w:rsidRPr="007B7391" w:rsidRDefault="001213E6" w:rsidP="001213E6">
            <w:pPr>
              <w:pStyle w:val="Listparagraf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551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Evidenţa contabilă a calculării corecte şi sistematice a retribuirii muncii subdiviziunilor deservite</w:t>
            </w:r>
            <w:r w:rsidRPr="001213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elaborarea dărilor de seamă pe efectiv şi salariu, completarea formularelor, evidenţa decontărilor şi </w:t>
            </w:r>
            <w:proofErr w:type="spellStart"/>
            <w:r w:rsidRPr="001213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operaţiunilor</w:t>
            </w:r>
            <w:proofErr w:type="spellEnd"/>
            <w:r w:rsidRPr="001213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casă.</w:t>
            </w:r>
          </w:p>
        </w:tc>
        <w:tc>
          <w:tcPr>
            <w:tcW w:w="2694" w:type="dxa"/>
          </w:tcPr>
          <w:p w14:paraId="61EB4E7B" w14:textId="77777777" w:rsidR="001213E6" w:rsidRDefault="001213E6" w:rsidP="001213E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4B5865FB" w:rsidR="001213E6" w:rsidRPr="009D1796" w:rsidRDefault="001213E6" w:rsidP="001213E6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28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,  ora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1213E6" w:rsidRDefault="001213E6" w:rsidP="001213E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695F64AC" w14:textId="77777777" w:rsidR="001213E6" w:rsidRDefault="001213E6" w:rsidP="001213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0BA5FCA5" w14:textId="77777777" w:rsidR="001213E6" w:rsidRDefault="001213E6" w:rsidP="001213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  <w:p w14:paraId="79DA0E78" w14:textId="77777777" w:rsidR="001213E6" w:rsidRPr="00D34E67" w:rsidRDefault="001213E6" w:rsidP="001213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50B531D" w14:textId="3D6A0B34" w:rsidR="001213E6" w:rsidRPr="00322594" w:rsidRDefault="001213E6" w:rsidP="001213E6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43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9070</w:t>
            </w:r>
          </w:p>
        </w:tc>
      </w:tr>
      <w:tr w:rsidR="001213E6" w:rsidRPr="001213E6" w14:paraId="04537FE3" w14:textId="77777777" w:rsidTr="007B7391">
        <w:tc>
          <w:tcPr>
            <w:tcW w:w="15491" w:type="dxa"/>
            <w:gridSpan w:val="6"/>
          </w:tcPr>
          <w:p w14:paraId="42A14EB3" w14:textId="77777777" w:rsidR="00150DF1" w:rsidRDefault="00150DF1" w:rsidP="001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</w:p>
          <w:p w14:paraId="4817798E" w14:textId="66360D18" w:rsidR="001213E6" w:rsidRPr="00EC3DD9" w:rsidRDefault="001213E6" w:rsidP="00121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59253C3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4C573E">
              <w:rPr>
                <w:rFonts w:ascii="Times New Roman" w:hAnsi="Times New Roman"/>
                <w:sz w:val="24"/>
                <w:szCs w:val="24"/>
                <w:lang w:val="it-IT"/>
              </w:rPr>
              <w:t>Codul muncii al RM 154/2003</w:t>
            </w: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39A4516F" w14:textId="77777777" w:rsidR="001213E6" w:rsidRPr="004C573E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4C573E">
              <w:rPr>
                <w:rFonts w:ascii="Times New Roman" w:hAnsi="Times New Roman"/>
                <w:sz w:val="24"/>
                <w:szCs w:val="24"/>
                <w:lang w:val="it-IT"/>
              </w:rPr>
              <w:t>Legea nr.288/2016 privind funcţionarul public cu statut special din cadrul Ministerul Afacerilor Interne;</w:t>
            </w:r>
          </w:p>
          <w:p w14:paraId="6FD4D0E2" w14:textId="77777777" w:rsidR="001213E6" w:rsidRPr="004C573E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C573E">
              <w:rPr>
                <w:rFonts w:ascii="Times New Roman" w:hAnsi="Times New Roman"/>
                <w:sz w:val="24"/>
                <w:szCs w:val="24"/>
                <w:lang w:val="it-IT"/>
              </w:rPr>
              <w:t>- Legea nr.158/2008 cu privire la funcţia publică şi statutul funcţionarului public;</w:t>
            </w:r>
          </w:p>
          <w:p w14:paraId="525E6BD5" w14:textId="77777777" w:rsidR="001213E6" w:rsidRPr="004C573E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C573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şi </w:t>
            </w:r>
            <w:proofErr w:type="spellStart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0B5B9C6E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C573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548CD777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3A32D037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76E06A0A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4C573E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nr.208 din 24.12.2015 „Privind Clasifica</w:t>
            </w:r>
            <w:r w:rsidRPr="00505A46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1A50EE95" w14:textId="77777777" w:rsidR="001213E6" w:rsidRPr="00505A4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4C573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rdinul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4C573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finanţelor nr.216 din 28.12. </w:t>
            </w: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2015 planul de conturi contabile în sistemul bugetar şi normele metodologice privind evidenţa contabilă şi raportarea financiară în sistemul bugetar;</w:t>
            </w:r>
          </w:p>
          <w:p w14:paraId="038025C8" w14:textId="77777777" w:rsidR="001213E6" w:rsidRDefault="001213E6" w:rsidP="001213E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6A02B12A" w14:textId="58EFE930" w:rsidR="00150DF1" w:rsidRPr="00505A46" w:rsidRDefault="00150DF1" w:rsidP="001213E6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48F099D4" w14:textId="77777777" w:rsidR="008559DC" w:rsidRDefault="008559DC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sectPr w:rsidR="008559DC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13E6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0DF1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B7B31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C573E"/>
    <w:rsid w:val="004D0467"/>
    <w:rsid w:val="004D0BD2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2CD3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0FC7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Normal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Normal"/>
    <w:rsid w:val="00B5059B"/>
    <w:pPr>
      <w:ind w:left="720"/>
      <w:contextualSpacing/>
    </w:pPr>
    <w:rPr>
      <w:rFonts w:eastAsia="Times New Roman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72CD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72C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8</cp:revision>
  <cp:lastPrinted>2022-10-25T08:26:00Z</cp:lastPrinted>
  <dcterms:created xsi:type="dcterms:W3CDTF">2026-01-14T13:54:00Z</dcterms:created>
  <dcterms:modified xsi:type="dcterms:W3CDTF">2026-01-14T14:05:00Z</dcterms:modified>
</cp:coreProperties>
</file>