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6CE124C3" w:rsidR="00D71195" w:rsidRPr="00CA59D8" w:rsidRDefault="00945512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341A1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.01.2025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595E5D7F" w14:textId="77777777" w:rsidR="00945512" w:rsidRDefault="00945512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6DB2DF09" w14:textId="77777777" w:rsidR="00945512" w:rsidRDefault="00945512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365EC0D" w14:textId="059FBECD" w:rsidR="00EE153F" w:rsidRPr="00426DAB" w:rsidRDefault="00341A19" w:rsidP="006C1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EE153F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EE153F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EE153F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C02</w:t>
      </w:r>
    </w:p>
    <w:p w14:paraId="181D6CC4" w14:textId="77777777" w:rsidR="00EE153F" w:rsidRPr="0023158D" w:rsidRDefault="00EE153F" w:rsidP="006C18F3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945512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3BE25DF7" w14:textId="77777777" w:rsidR="00EE153F" w:rsidRPr="00255119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63BA07F" w14:textId="77777777" w:rsidR="00EE153F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8892B2F" w14:textId="77777777" w:rsidR="00EE153F" w:rsidRPr="00945512" w:rsidRDefault="00EE153F" w:rsidP="006C1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714A9E6F" w14:textId="77777777" w:rsidR="00EE153F" w:rsidRPr="00945512" w:rsidRDefault="00EE153F" w:rsidP="00EE153F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Tabelgril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341A19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341A19" w:rsidRPr="00341A19" w14:paraId="55E5CEA6" w14:textId="77777777" w:rsidTr="006665EB">
        <w:tc>
          <w:tcPr>
            <w:tcW w:w="2410" w:type="dxa"/>
          </w:tcPr>
          <w:p w14:paraId="7F7498AC" w14:textId="5C9C8BE7" w:rsidR="00341A19" w:rsidRPr="00124605" w:rsidRDefault="00341A19" w:rsidP="00341A1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 superior</w:t>
            </w:r>
          </w:p>
        </w:tc>
        <w:tc>
          <w:tcPr>
            <w:tcW w:w="3544" w:type="dxa"/>
          </w:tcPr>
          <w:p w14:paraId="05AB8160" w14:textId="77777777" w:rsidR="00341A19" w:rsidRPr="007D3343" w:rsidRDefault="00341A19" w:rsidP="00341A1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şi pompieri Ciocana al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lastRenderedPageBreak/>
              <w:t>situaţii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1F8F008A" w14:textId="77777777" w:rsidR="00341A19" w:rsidRPr="001B0429" w:rsidRDefault="00341A19" w:rsidP="00341A19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4C147E9B" w14:textId="77777777" w:rsidR="00341A19" w:rsidRPr="001B0429" w:rsidRDefault="00341A19" w:rsidP="00341A19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16E356DD" w14:textId="77777777" w:rsidR="00341A19" w:rsidRPr="001B0429" w:rsidRDefault="00341A19" w:rsidP="00341A19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35B28683" w14:textId="77777777" w:rsidR="00341A19" w:rsidRDefault="00341A19" w:rsidP="00341A1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Chişinău,</w:t>
            </w:r>
            <w:proofErr w:type="spellEnd"/>
          </w:p>
          <w:p w14:paraId="2A88075F" w14:textId="53426892" w:rsidR="00341A19" w:rsidRPr="007D3343" w:rsidRDefault="00341A19" w:rsidP="00341A1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Maria Drăgan 7</w:t>
            </w:r>
          </w:p>
          <w:p w14:paraId="3711EE47" w14:textId="7CAFF734" w:rsidR="00341A19" w:rsidRPr="00124605" w:rsidRDefault="00341A19" w:rsidP="00341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EEF3EF" w14:textId="00FA903B" w:rsidR="00341A19" w:rsidRPr="001A67A6" w:rsidRDefault="00341A19" w:rsidP="00341A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lastRenderedPageBreak/>
              <w:t xml:space="preserve">Îndeplinirea lucrărilor de salvare şi lichidare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consecinţelor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situaţiilor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lastRenderedPageBreak/>
              <w:t>urgenţă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excepţionale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menţinerea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în stare permanentă de pregătire a tehnicii şi utilajului de intervenţie</w:t>
            </w:r>
          </w:p>
        </w:tc>
        <w:tc>
          <w:tcPr>
            <w:tcW w:w="2836" w:type="dxa"/>
          </w:tcPr>
          <w:p w14:paraId="23A959F2" w14:textId="77777777" w:rsidR="00341A19" w:rsidRDefault="00341A19" w:rsidP="00341A19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B10DF01" w14:textId="38D20C4C" w:rsidR="00341A19" w:rsidRPr="008E68E1" w:rsidRDefault="00341A19" w:rsidP="00341A19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26.01.2026, 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ora 16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</w:tc>
        <w:tc>
          <w:tcPr>
            <w:tcW w:w="3827" w:type="dxa"/>
          </w:tcPr>
          <w:p w14:paraId="417EDA1B" w14:textId="77777777" w:rsidR="00341A19" w:rsidRDefault="00341A19" w:rsidP="00341A1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A822369" w14:textId="77777777" w:rsidR="00341A19" w:rsidRPr="003870AC" w:rsidRDefault="00341A19" w:rsidP="00341A1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68D091AD" w14:textId="77777777" w:rsidR="00341A19" w:rsidRDefault="00341A19" w:rsidP="00341A1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4717C28" w14:textId="77777777" w:rsidR="00341A19" w:rsidRDefault="00341A19" w:rsidP="00341A1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0B4C9FF" w14:textId="77777777" w:rsidR="00341A19" w:rsidRPr="005F36C1" w:rsidRDefault="00341A19" w:rsidP="00341A19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514818A2" w14:textId="6D2E8EE2" w:rsidR="00341A19" w:rsidRPr="001A67A6" w:rsidRDefault="00341A19" w:rsidP="00341A19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8D16F91" w14:textId="77777777" w:rsidR="00F56017" w:rsidRPr="00945512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F56017" w:rsidRPr="00945512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1A19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B7B31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3F58AA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3728B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12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030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A7C63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deparagrafimplicit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Normal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">
    <w:name w:val="Абзац списка2"/>
    <w:basedOn w:val="Normal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</cp:revision>
  <dcterms:created xsi:type="dcterms:W3CDTF">2026-01-14T13:41:00Z</dcterms:created>
  <dcterms:modified xsi:type="dcterms:W3CDTF">2026-01-19T12:19:00Z</dcterms:modified>
</cp:coreProperties>
</file>