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50573D" w:rsidRDefault="0068234B">
      <w:pPr>
        <w:pStyle w:val="oddl-nadpis"/>
        <w:widowControl/>
        <w:jc w:val="center"/>
        <w:rPr>
          <w:rFonts w:ascii="Times New Roman" w:hAnsi="Times New Roman"/>
          <w:sz w:val="32"/>
          <w:szCs w:val="32"/>
          <w:lang w:val="fr-FR"/>
        </w:rPr>
      </w:pPr>
      <w:r w:rsidRPr="0050573D">
        <w:rPr>
          <w:rFonts w:ascii="Times New Roman" w:hAnsi="Times New Roman"/>
          <w:sz w:val="32"/>
          <w:szCs w:val="32"/>
          <w:lang w:val="fr-FR"/>
        </w:rPr>
        <w:t>VOLUME 1</w:t>
      </w:r>
    </w:p>
    <w:p w:rsidR="0068234B" w:rsidRPr="0050573D" w:rsidRDefault="0068234B">
      <w:pPr>
        <w:pStyle w:val="oddl-nadpis"/>
        <w:widowControl/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CF0E63" w:rsidRDefault="0068234B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bookmarkStart w:id="0" w:name="_Toc41823825"/>
      <w:bookmarkStart w:id="1" w:name="_Toc41877033"/>
      <w:r w:rsidRPr="0050573D">
        <w:rPr>
          <w:rFonts w:ascii="Times New Roman" w:hAnsi="Times New Roman"/>
          <w:color w:val="auto"/>
          <w:sz w:val="32"/>
          <w:szCs w:val="32"/>
          <w:lang w:val="fr-FR"/>
        </w:rPr>
        <w:t>SECTION 4</w:t>
      </w:r>
      <w:bookmarkEnd w:id="0"/>
    </w:p>
    <w:p w:rsidR="00CF0E63" w:rsidRDefault="00CF0E63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bookmarkStart w:id="2" w:name="_Toc41823826"/>
    </w:p>
    <w:p w:rsidR="0068234B" w:rsidRPr="0050573D" w:rsidRDefault="0068234B">
      <w:pPr>
        <w:pStyle w:val="Heading1"/>
        <w:rPr>
          <w:rFonts w:ascii="Times New Roman" w:hAnsi="Times New Roman"/>
          <w:color w:val="auto"/>
          <w:sz w:val="32"/>
          <w:szCs w:val="32"/>
          <w:lang w:val="fr-FR"/>
        </w:rPr>
      </w:pPr>
      <w:bookmarkStart w:id="3" w:name="_GoBack"/>
      <w:r w:rsidRPr="0050573D">
        <w:rPr>
          <w:rFonts w:ascii="Times New Roman" w:hAnsi="Times New Roman"/>
          <w:color w:val="auto"/>
          <w:sz w:val="32"/>
          <w:szCs w:val="32"/>
          <w:lang w:val="fr-FR"/>
        </w:rPr>
        <w:t>QUESTIONNAIRE</w:t>
      </w:r>
      <w:bookmarkEnd w:id="1"/>
      <w:bookmarkEnd w:id="2"/>
    </w:p>
    <w:bookmarkEnd w:id="3"/>
    <w:p w:rsidR="0068234B" w:rsidRPr="00A631AC" w:rsidRDefault="0068234B">
      <w:pPr>
        <w:pStyle w:val="Volume"/>
        <w:widowControl/>
        <w:rPr>
          <w:rFonts w:ascii="Times New Roman" w:hAnsi="Times New Roman"/>
          <w:sz w:val="28"/>
          <w:szCs w:val="28"/>
          <w:lang w:val="fr-FR"/>
        </w:rPr>
      </w:pPr>
      <w:r w:rsidRPr="00A631AC">
        <w:rPr>
          <w:rFonts w:ascii="Times New Roman" w:hAnsi="Times New Roman"/>
          <w:sz w:val="28"/>
          <w:szCs w:val="28"/>
          <w:lang w:val="fr-FR"/>
        </w:rPr>
        <w:lastRenderedPageBreak/>
        <w:t>VOLUME 1</w:t>
      </w:r>
    </w:p>
    <w:p w:rsidR="0068234B" w:rsidRPr="00A631AC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fr-FR"/>
        </w:rPr>
      </w:pPr>
      <w:r w:rsidRPr="00A631AC">
        <w:rPr>
          <w:rFonts w:ascii="Times New Roman" w:hAnsi="Times New Roman"/>
          <w:sz w:val="28"/>
          <w:szCs w:val="28"/>
          <w:lang w:val="fr-FR"/>
        </w:rPr>
        <w:t>SECTION 4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QUESTIONNAIRE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CONTENTS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Additional notice to tenderers</w:t>
      </w: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4.1</w:t>
      </w:r>
      <w:r w:rsidR="00411B7B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>G</w:t>
      </w:r>
      <w:r w:rsidRPr="00E725FE">
        <w:rPr>
          <w:rFonts w:ascii="Times New Roman" w:hAnsi="Times New Roman"/>
          <w:sz w:val="22"/>
          <w:szCs w:val="22"/>
          <w:lang w:val="en-GB"/>
        </w:rPr>
        <w:t>eneral information about the tenderer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4.2</w:t>
      </w:r>
      <w:r>
        <w:rPr>
          <w:rFonts w:ascii="Times New Roman" w:hAnsi="Times New Roman"/>
          <w:sz w:val="22"/>
          <w:szCs w:val="22"/>
          <w:lang w:val="en-GB"/>
        </w:rPr>
        <w:tab/>
        <w:t>O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rganisation chart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4.3</w:t>
      </w:r>
      <w:r>
        <w:rPr>
          <w:rFonts w:ascii="Times New Roman" w:hAnsi="Times New Roman"/>
          <w:sz w:val="22"/>
          <w:szCs w:val="22"/>
          <w:lang w:val="en-GB"/>
        </w:rPr>
        <w:tab/>
        <w:t>P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ower of attorney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4.4</w:t>
      </w:r>
      <w:r>
        <w:rPr>
          <w:rFonts w:ascii="Times New Roman" w:hAnsi="Times New Roman"/>
          <w:sz w:val="22"/>
          <w:szCs w:val="22"/>
          <w:lang w:val="en-GB"/>
        </w:rPr>
        <w:tab/>
        <w:t>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inancial statement</w:t>
      </w:r>
    </w:p>
    <w:p w:rsidR="0068234B" w:rsidRPr="00E725FE" w:rsidRDefault="00411B7B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Form 4.5</w:t>
      </w:r>
      <w:r>
        <w:rPr>
          <w:rFonts w:ascii="Times New Roman" w:hAnsi="Times New Roman"/>
          <w:sz w:val="22"/>
          <w:szCs w:val="22"/>
          <w:lang w:val="en-GB"/>
        </w:rPr>
        <w:tab/>
        <w:t>a) 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inancial identification form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br/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>b) L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egal entity files</w:t>
      </w:r>
    </w:p>
    <w:p w:rsidR="0068234B" w:rsidRPr="00E725FE" w:rsidRDefault="00F40CF2" w:rsidP="00F40CF2">
      <w:pPr>
        <w:pStyle w:val="oddl-nadpis"/>
        <w:widowControl/>
        <w:tabs>
          <w:tab w:val="clear" w:pos="567"/>
          <w:tab w:val="left" w:pos="1560"/>
        </w:tabs>
        <w:ind w:left="1560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Form 4.6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T</w:t>
      </w:r>
      <w:r w:rsidRPr="00E725FE">
        <w:rPr>
          <w:rFonts w:ascii="Times New Roman" w:hAnsi="Times New Roman"/>
          <w:sz w:val="22"/>
          <w:szCs w:val="22"/>
          <w:lang w:val="en-GB"/>
        </w:rPr>
        <w:t>echnical qualifications</w:t>
      </w:r>
    </w:p>
    <w:p w:rsidR="0068234B" w:rsidRPr="00E725FE" w:rsidRDefault="0068234B" w:rsidP="00F40CF2">
      <w:pPr>
        <w:pStyle w:val="text-3mezera"/>
        <w:widowControl/>
        <w:tabs>
          <w:tab w:val="left" w:pos="2552"/>
        </w:tabs>
        <w:spacing w:before="120"/>
        <w:ind w:left="2410" w:hanging="283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4.6.1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C22074">
        <w:rPr>
          <w:rFonts w:ascii="Times New Roman" w:hAnsi="Times New Roman"/>
          <w:sz w:val="22"/>
          <w:szCs w:val="22"/>
          <w:lang w:val="en-GB"/>
        </w:rPr>
        <w:t>Personnel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4.6.2</w:t>
      </w:r>
      <w:r>
        <w:rPr>
          <w:rFonts w:ascii="Times New Roman" w:hAnsi="Times New Roman"/>
          <w:sz w:val="22"/>
          <w:szCs w:val="22"/>
          <w:lang w:val="en-GB"/>
        </w:rPr>
        <w:tab/>
        <w:t>P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lant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4.6.3</w:t>
      </w:r>
      <w:r>
        <w:rPr>
          <w:rFonts w:ascii="Times New Roman" w:hAnsi="Times New Roman"/>
          <w:sz w:val="22"/>
          <w:szCs w:val="22"/>
          <w:lang w:val="en-GB"/>
        </w:rPr>
        <w:tab/>
        <w:t>W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ork</w:t>
      </w:r>
      <w:r w:rsidR="0062235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plan and programme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4.6.4</w:t>
      </w:r>
      <w:r>
        <w:rPr>
          <w:rFonts w:ascii="Times New Roman" w:hAnsi="Times New Roman"/>
          <w:sz w:val="22"/>
          <w:szCs w:val="22"/>
          <w:lang w:val="en-GB"/>
        </w:rPr>
        <w:tab/>
        <w:t>E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xperience as contractor</w:t>
      </w:r>
    </w:p>
    <w:p w:rsidR="00411B7B" w:rsidRDefault="00F40CF2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4.6.5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411B7B">
        <w:rPr>
          <w:rFonts w:ascii="Times New Roman" w:hAnsi="Times New Roman"/>
          <w:sz w:val="22"/>
          <w:szCs w:val="22"/>
          <w:lang w:val="en-GB"/>
        </w:rPr>
        <w:t>I</w:t>
      </w:r>
      <w:r w:rsidRPr="00E725FE">
        <w:rPr>
          <w:rFonts w:ascii="Times New Roman" w:hAnsi="Times New Roman"/>
          <w:sz w:val="22"/>
          <w:szCs w:val="22"/>
          <w:lang w:val="en-GB"/>
        </w:rPr>
        <w:t>nformation on joint ventures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4.6.6</w:t>
      </w:r>
      <w:r>
        <w:rPr>
          <w:rFonts w:ascii="Times New Roman" w:hAnsi="Times New Roman"/>
          <w:sz w:val="22"/>
          <w:szCs w:val="22"/>
          <w:lang w:val="en-GB"/>
        </w:rPr>
        <w:tab/>
        <w:t>L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itigation history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4.6.7</w:t>
      </w:r>
      <w:r>
        <w:rPr>
          <w:rFonts w:ascii="Times New Roman" w:hAnsi="Times New Roman"/>
          <w:sz w:val="22"/>
          <w:szCs w:val="22"/>
          <w:lang w:val="en-GB"/>
        </w:rPr>
        <w:tab/>
        <w:t>Q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uality assurance system(s)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4.6.8</w:t>
      </w:r>
      <w:r>
        <w:rPr>
          <w:rFonts w:ascii="Times New Roman" w:hAnsi="Times New Roman"/>
          <w:sz w:val="22"/>
          <w:szCs w:val="22"/>
          <w:lang w:val="en-GB"/>
        </w:rPr>
        <w:tab/>
        <w:t>A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ccommodation for the supervisor</w:t>
      </w:r>
    </w:p>
    <w:p w:rsidR="0068234B" w:rsidRPr="00E725FE" w:rsidRDefault="00411B7B" w:rsidP="00F40CF2">
      <w:pPr>
        <w:pStyle w:val="text-3mezera"/>
        <w:widowControl/>
        <w:tabs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4.6.9</w:t>
      </w:r>
      <w:r>
        <w:rPr>
          <w:rFonts w:ascii="Times New Roman" w:hAnsi="Times New Roman"/>
          <w:sz w:val="22"/>
          <w:szCs w:val="22"/>
          <w:lang w:val="en-GB"/>
        </w:rPr>
        <w:tab/>
        <w:t>F</w:t>
      </w:r>
      <w:r w:rsidR="00F40CF2" w:rsidRPr="00E725FE">
        <w:rPr>
          <w:rFonts w:ascii="Times New Roman" w:hAnsi="Times New Roman"/>
          <w:sz w:val="22"/>
          <w:szCs w:val="22"/>
          <w:lang w:val="en-GB"/>
        </w:rPr>
        <w:t>urther information</w:t>
      </w:r>
    </w:p>
    <w:p w:rsidR="0068234B" w:rsidRPr="00E725FE" w:rsidRDefault="0068234B" w:rsidP="00F40CF2">
      <w:pPr>
        <w:pStyle w:val="text-3mezera"/>
        <w:widowControl/>
        <w:tabs>
          <w:tab w:val="left" w:pos="1560"/>
          <w:tab w:val="left" w:pos="2552"/>
        </w:tabs>
        <w:ind w:left="2410" w:hanging="283"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 w:rsidP="00411B7B">
      <w:pPr>
        <w:pStyle w:val="text-3mezera"/>
        <w:widowControl/>
        <w:ind w:left="851"/>
        <w:rPr>
          <w:rFonts w:ascii="Times New Roman" w:hAnsi="Times New Roman"/>
          <w:b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highlight w:val="yellow"/>
          <w:lang w:val="en-GB"/>
        </w:rPr>
        <w:t>These documents may be adapted as required by the project.</w:t>
      </w:r>
    </w:p>
    <w:p w:rsidR="0068234B" w:rsidRPr="00E725FE" w:rsidRDefault="0068234B">
      <w:pPr>
        <w:pStyle w:val="Volume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lastRenderedPageBreak/>
        <w:t>VOLUME 1</w:t>
      </w:r>
    </w:p>
    <w:p w:rsidR="0068234B" w:rsidRPr="00E725FE" w:rsidRDefault="0068234B">
      <w:pPr>
        <w:jc w:val="center"/>
        <w:rPr>
          <w:b/>
          <w:sz w:val="22"/>
          <w:szCs w:val="22"/>
        </w:rPr>
      </w:pPr>
      <w:bookmarkStart w:id="4" w:name="_Toc41823827"/>
      <w:r w:rsidRPr="00E725FE">
        <w:rPr>
          <w:b/>
          <w:sz w:val="22"/>
          <w:szCs w:val="22"/>
        </w:rPr>
        <w:t>SECTION 4</w:t>
      </w:r>
      <w:bookmarkEnd w:id="4"/>
    </w:p>
    <w:p w:rsidR="0068234B" w:rsidRPr="00E725FE" w:rsidRDefault="0068234B">
      <w:pPr>
        <w:pStyle w:val="Heading1"/>
        <w:rPr>
          <w:rFonts w:ascii="Times New Roman" w:hAnsi="Times New Roman"/>
          <w:i/>
          <w:color w:val="auto"/>
          <w:sz w:val="22"/>
          <w:szCs w:val="22"/>
        </w:rPr>
      </w:pPr>
    </w:p>
    <w:p w:rsidR="0068234B" w:rsidRPr="0050573D" w:rsidRDefault="0068234B">
      <w:pPr>
        <w:pStyle w:val="Heading1"/>
        <w:rPr>
          <w:rFonts w:ascii="Times New Roman" w:hAnsi="Times New Roman"/>
          <w:color w:val="auto"/>
          <w:sz w:val="22"/>
          <w:szCs w:val="22"/>
        </w:rPr>
      </w:pPr>
      <w:bookmarkStart w:id="5" w:name="_Toc41823829"/>
      <w:bookmarkStart w:id="6" w:name="_Toc41877034"/>
      <w:r w:rsidRPr="0050573D">
        <w:rPr>
          <w:rFonts w:ascii="Times New Roman" w:hAnsi="Times New Roman"/>
          <w:color w:val="auto"/>
          <w:sz w:val="22"/>
          <w:szCs w:val="22"/>
        </w:rPr>
        <w:t>ADDITIONAL NOTICE TO TENDERERS</w:t>
      </w:r>
      <w:bookmarkEnd w:id="5"/>
      <w:bookmarkEnd w:id="6"/>
    </w:p>
    <w:p w:rsidR="0068234B" w:rsidRPr="00E725FE" w:rsidRDefault="0068234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4543B0" w:rsidP="0068234B">
      <w:pPr>
        <w:pStyle w:val="textcslovan"/>
        <w:widowControl/>
        <w:numPr>
          <w:ilvl w:val="0"/>
          <w:numId w:val="60"/>
        </w:numPr>
        <w:spacing w:before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Tenderers must answer a</w:t>
      </w:r>
      <w:r w:rsidR="0068234B" w:rsidRPr="00E725FE">
        <w:rPr>
          <w:rFonts w:ascii="Times New Roman" w:hAnsi="Times New Roman"/>
          <w:sz w:val="22"/>
          <w:szCs w:val="22"/>
          <w:lang w:val="en-GB"/>
        </w:rPr>
        <w:t>ll questions contained in the forms.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Additional sheets may be attached as necessary.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If a question does not apply to the tenderer, </w:t>
      </w:r>
      <w:r w:rsidR="00E725FE">
        <w:rPr>
          <w:rFonts w:ascii="Times New Roman" w:hAnsi="Times New Roman"/>
          <w:sz w:val="22"/>
          <w:szCs w:val="22"/>
          <w:lang w:val="en-GB"/>
        </w:rPr>
        <w:t>‘</w:t>
      </w:r>
      <w:r w:rsidRPr="00E725FE">
        <w:rPr>
          <w:rFonts w:ascii="Times New Roman" w:hAnsi="Times New Roman"/>
          <w:sz w:val="22"/>
          <w:szCs w:val="22"/>
          <w:lang w:val="en-GB"/>
        </w:rPr>
        <w:t>not applicable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should be entered alongside with a brief explanation.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Every page of each form must be numbered consecutively in the bottom right</w:t>
      </w:r>
      <w:r w:rsidRPr="00E725FE">
        <w:rPr>
          <w:rFonts w:ascii="Times New Roman" w:hAnsi="Times New Roman"/>
          <w:sz w:val="22"/>
          <w:szCs w:val="22"/>
          <w:lang w:val="en-GB"/>
        </w:rPr>
        <w:noBreakHyphen/>
        <w:t>hand corner.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Financial data and declarations </w:t>
      </w:r>
      <w:r w:rsidR="004543B0">
        <w:rPr>
          <w:rFonts w:ascii="Times New Roman" w:hAnsi="Times New Roman"/>
          <w:sz w:val="22"/>
          <w:szCs w:val="22"/>
          <w:lang w:val="en-GB"/>
        </w:rPr>
        <w:t>submitted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by the tenderer must be given in euro or national currency. Original bank statements may be also attached for reference.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If the requested supporting documents/certificates are not written in one of the official languages of the European Union, a translation into the language of the call for tender must be attached. </w:t>
      </w:r>
      <w:r w:rsidR="00622351">
        <w:rPr>
          <w:rFonts w:ascii="Times New Roman" w:hAnsi="Times New Roman"/>
          <w:sz w:val="22"/>
          <w:szCs w:val="22"/>
          <w:lang w:val="en-GB"/>
        </w:rPr>
        <w:t>If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the documents are in an official language of the European Union, other than the procedur</w:t>
      </w:r>
      <w:r w:rsidR="00622351">
        <w:rPr>
          <w:rFonts w:ascii="Times New Roman" w:hAnsi="Times New Roman"/>
          <w:sz w:val="22"/>
          <w:szCs w:val="22"/>
          <w:lang w:val="en-GB"/>
        </w:rPr>
        <w:t>al language</w:t>
      </w:r>
      <w:r w:rsidRPr="00E725FE">
        <w:rPr>
          <w:rFonts w:ascii="Times New Roman" w:hAnsi="Times New Roman"/>
          <w:sz w:val="22"/>
          <w:szCs w:val="22"/>
          <w:lang w:val="en-GB"/>
        </w:rPr>
        <w:t>, it is however strongly recommended to provide a translation into the language of the call for tenders in order to facilitate the evaluation of the documents.</w:t>
      </w:r>
    </w:p>
    <w:p w:rsidR="0068234B" w:rsidRPr="00E725FE" w:rsidRDefault="0068234B" w:rsidP="00690ED1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Each member of a joint venture/consortium must fill in and submit </w:t>
      </w:r>
      <w:r w:rsidR="00690ED1">
        <w:rPr>
          <w:rFonts w:ascii="Times New Roman" w:hAnsi="Times New Roman"/>
          <w:sz w:val="22"/>
          <w:szCs w:val="22"/>
          <w:lang w:val="en-GB"/>
        </w:rPr>
        <w:t>separately the following forms: 4.1, 4.2, 4.3, 4.4, 4.5b,</w:t>
      </w:r>
      <w:r w:rsidR="00690ED1" w:rsidRPr="00690ED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90ED1">
        <w:rPr>
          <w:rFonts w:ascii="Times New Roman" w:hAnsi="Times New Roman"/>
          <w:sz w:val="22"/>
          <w:szCs w:val="22"/>
          <w:lang w:val="en-GB"/>
        </w:rPr>
        <w:t>4.6.1.1, 4.6.4,</w:t>
      </w:r>
      <w:r w:rsidR="00690ED1" w:rsidRPr="00690ED1">
        <w:rPr>
          <w:rFonts w:ascii="Times New Roman" w:hAnsi="Times New Roman"/>
          <w:sz w:val="22"/>
          <w:szCs w:val="22"/>
          <w:lang w:val="en-GB"/>
        </w:rPr>
        <w:t xml:space="preserve"> 4.6.6</w:t>
      </w:r>
      <w:r w:rsidR="00690ED1">
        <w:rPr>
          <w:rFonts w:ascii="Times New Roman" w:hAnsi="Times New Roman"/>
          <w:sz w:val="22"/>
          <w:szCs w:val="22"/>
          <w:lang w:val="en-GB"/>
        </w:rPr>
        <w:t>. All other forms must be filled in and submitted jointly.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Firms applying as a joint venture/consortium must also complete Form 4.6.5 concerning joint ventures/consortia.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The person signing this questionnaire guarantees the truthfulness and accuracy of all the statements made.</w:t>
      </w:r>
    </w:p>
    <w:p w:rsidR="0068234B" w:rsidRPr="00E725FE" w:rsidRDefault="0068234B" w:rsidP="0068234B">
      <w:pPr>
        <w:pStyle w:val="textcslovan"/>
        <w:widowControl/>
        <w:numPr>
          <w:ilvl w:val="0"/>
          <w:numId w:val="60"/>
        </w:numPr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The accuracy of the answers to the questionnaire, their completeness and the attached documentation will be taken into account in the tender evaluation. </w:t>
      </w:r>
      <w:r w:rsidR="00362638">
        <w:rPr>
          <w:rFonts w:ascii="Times New Roman" w:hAnsi="Times New Roman"/>
          <w:sz w:val="22"/>
          <w:szCs w:val="22"/>
          <w:lang w:val="en-GB"/>
        </w:rPr>
        <w:t xml:space="preserve">Please be aware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that </w:t>
      </w:r>
      <w:r w:rsidR="004543B0">
        <w:rPr>
          <w:rFonts w:ascii="Times New Roman" w:hAnsi="Times New Roman"/>
          <w:sz w:val="22"/>
          <w:szCs w:val="22"/>
          <w:lang w:val="en-GB"/>
        </w:rPr>
        <w:t>a lack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of data may </w:t>
      </w:r>
      <w:r w:rsidR="004543B0">
        <w:rPr>
          <w:rFonts w:ascii="Times New Roman" w:hAnsi="Times New Roman"/>
          <w:sz w:val="22"/>
          <w:szCs w:val="22"/>
          <w:lang w:val="en-GB"/>
        </w:rPr>
        <w:t>result in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their non</w:t>
      </w:r>
      <w:r w:rsidRPr="00E725FE">
        <w:rPr>
          <w:rFonts w:ascii="Times New Roman" w:hAnsi="Times New Roman"/>
          <w:sz w:val="22"/>
          <w:szCs w:val="22"/>
          <w:lang w:val="en-GB"/>
        </w:rPr>
        <w:noBreakHyphen/>
        <w:t>compliance in the related item of evaluation.</w:t>
      </w:r>
    </w:p>
    <w:sectPr w:rsidR="0068234B" w:rsidRPr="00E725FE" w:rsidSect="0050573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7B" w:rsidRPr="00E725FE" w:rsidRDefault="0088247B">
      <w:r w:rsidRPr="00E725FE">
        <w:separator/>
      </w:r>
    </w:p>
  </w:endnote>
  <w:endnote w:type="continuationSeparator" w:id="0">
    <w:p w:rsidR="0088247B" w:rsidRPr="00E725FE" w:rsidRDefault="0088247B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Default="003A16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16F8" w:rsidRDefault="003A16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63" w:rsidRDefault="00CF0E63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3A16F8" w:rsidRPr="003A16F8" w:rsidRDefault="00A428BC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2021</w:t>
    </w:r>
    <w:r w:rsidR="006310E1">
      <w:rPr>
        <w:b/>
        <w:sz w:val="18"/>
      </w:rPr>
      <w:t>.1</w:t>
    </w:r>
    <w:r w:rsidR="003A16F8" w:rsidRPr="003A16F8">
      <w:rPr>
        <w:sz w:val="18"/>
        <w:szCs w:val="18"/>
      </w:rPr>
      <w:tab/>
      <w:t xml:space="preserve">Page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PAGE </w:instrText>
    </w:r>
    <w:r w:rsidR="003A16F8" w:rsidRPr="003A16F8">
      <w:rPr>
        <w:rStyle w:val="PageNumber"/>
        <w:sz w:val="18"/>
        <w:szCs w:val="18"/>
      </w:rPr>
      <w:fldChar w:fldCharType="separate"/>
    </w:r>
    <w:r w:rsidR="006310E1">
      <w:rPr>
        <w:rStyle w:val="PageNumber"/>
        <w:noProof/>
        <w:sz w:val="18"/>
        <w:szCs w:val="18"/>
      </w:rPr>
      <w:t>3</w:t>
    </w:r>
    <w:r w:rsidR="003A16F8" w:rsidRPr="003A16F8">
      <w:rPr>
        <w:rStyle w:val="PageNumber"/>
        <w:sz w:val="18"/>
        <w:szCs w:val="18"/>
      </w:rPr>
      <w:fldChar w:fldCharType="end"/>
    </w:r>
    <w:r w:rsidR="003A16F8" w:rsidRPr="003A16F8">
      <w:rPr>
        <w:rStyle w:val="PageNumber"/>
        <w:sz w:val="18"/>
        <w:szCs w:val="18"/>
      </w:rPr>
      <w:t xml:space="preserve"> of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NUMPAGES </w:instrText>
    </w:r>
    <w:r w:rsidR="003A16F8" w:rsidRPr="003A16F8">
      <w:rPr>
        <w:rStyle w:val="PageNumber"/>
        <w:sz w:val="18"/>
        <w:szCs w:val="18"/>
      </w:rPr>
      <w:fldChar w:fldCharType="separate"/>
    </w:r>
    <w:r w:rsidR="006310E1">
      <w:rPr>
        <w:rStyle w:val="PageNumber"/>
        <w:noProof/>
        <w:sz w:val="18"/>
        <w:szCs w:val="18"/>
      </w:rPr>
      <w:t>3</w:t>
    </w:r>
    <w:r w:rsidR="003A16F8" w:rsidRPr="003A16F8">
      <w:rPr>
        <w:rStyle w:val="PageNumber"/>
        <w:sz w:val="18"/>
        <w:szCs w:val="18"/>
      </w:rPr>
      <w:fldChar w:fldCharType="end"/>
    </w:r>
  </w:p>
  <w:p w:rsidR="003A16F8" w:rsidRPr="003A16F8" w:rsidRDefault="003A16F8" w:rsidP="00582940">
    <w:pPr>
      <w:rPr>
        <w:sz w:val="18"/>
        <w:szCs w:val="18"/>
      </w:rPr>
    </w:pPr>
    <w:r w:rsidRPr="003A16F8">
      <w:rPr>
        <w:sz w:val="18"/>
        <w:szCs w:val="18"/>
      </w:rPr>
      <w:fldChar w:fldCharType="begin"/>
    </w:r>
    <w:r w:rsidRPr="003A16F8">
      <w:rPr>
        <w:sz w:val="18"/>
        <w:szCs w:val="18"/>
      </w:rPr>
      <w:instrText xml:space="preserve"> FILENAME </w:instrText>
    </w:r>
    <w:r w:rsidRPr="003A16F8">
      <w:rPr>
        <w:sz w:val="18"/>
        <w:szCs w:val="18"/>
      </w:rPr>
      <w:fldChar w:fldCharType="separate"/>
    </w:r>
    <w:r w:rsidR="004156B5">
      <w:rPr>
        <w:noProof/>
        <w:sz w:val="18"/>
        <w:szCs w:val="18"/>
      </w:rPr>
      <w:t>d4e_techofferquestion_en.doc</w:t>
    </w:r>
    <w:r w:rsidRPr="003A16F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Pr="003A16F8" w:rsidRDefault="0063518A" w:rsidP="003A16F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3A16F8" w:rsidRPr="003A16F8">
      <w:rPr>
        <w:sz w:val="18"/>
        <w:szCs w:val="18"/>
      </w:rPr>
      <w:tab/>
      <w:t xml:space="preserve">Page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PAGE </w:instrText>
    </w:r>
    <w:r w:rsidR="003A16F8" w:rsidRPr="003A16F8">
      <w:rPr>
        <w:rStyle w:val="PageNumber"/>
        <w:sz w:val="18"/>
        <w:szCs w:val="18"/>
      </w:rPr>
      <w:fldChar w:fldCharType="separate"/>
    </w:r>
    <w:r w:rsidR="00CF0E63">
      <w:rPr>
        <w:rStyle w:val="PageNumber"/>
        <w:noProof/>
        <w:sz w:val="18"/>
        <w:szCs w:val="18"/>
      </w:rPr>
      <w:t>1</w:t>
    </w:r>
    <w:r w:rsidR="003A16F8" w:rsidRPr="003A16F8">
      <w:rPr>
        <w:rStyle w:val="PageNumber"/>
        <w:sz w:val="18"/>
        <w:szCs w:val="18"/>
      </w:rPr>
      <w:fldChar w:fldCharType="end"/>
    </w:r>
    <w:r w:rsidR="003A16F8" w:rsidRPr="003A16F8">
      <w:rPr>
        <w:rStyle w:val="PageNumber"/>
        <w:sz w:val="18"/>
        <w:szCs w:val="18"/>
      </w:rPr>
      <w:t xml:space="preserve"> of </w:t>
    </w:r>
    <w:r w:rsidR="003A16F8" w:rsidRPr="003A16F8">
      <w:rPr>
        <w:rStyle w:val="PageNumber"/>
        <w:sz w:val="18"/>
        <w:szCs w:val="18"/>
      </w:rPr>
      <w:fldChar w:fldCharType="begin"/>
    </w:r>
    <w:r w:rsidR="003A16F8" w:rsidRPr="003A16F8">
      <w:rPr>
        <w:rStyle w:val="PageNumber"/>
        <w:sz w:val="18"/>
        <w:szCs w:val="18"/>
      </w:rPr>
      <w:instrText xml:space="preserve"> NUMPAGES </w:instrText>
    </w:r>
    <w:r w:rsidR="003A16F8" w:rsidRPr="003A16F8">
      <w:rPr>
        <w:rStyle w:val="PageNumber"/>
        <w:sz w:val="18"/>
        <w:szCs w:val="18"/>
      </w:rPr>
      <w:fldChar w:fldCharType="separate"/>
    </w:r>
    <w:r w:rsidR="00CF0E63">
      <w:rPr>
        <w:rStyle w:val="PageNumber"/>
        <w:noProof/>
        <w:sz w:val="18"/>
        <w:szCs w:val="18"/>
      </w:rPr>
      <w:t>3</w:t>
    </w:r>
    <w:r w:rsidR="003A16F8" w:rsidRPr="003A16F8">
      <w:rPr>
        <w:rStyle w:val="PageNumber"/>
        <w:sz w:val="18"/>
        <w:szCs w:val="18"/>
      </w:rPr>
      <w:fldChar w:fldCharType="end"/>
    </w:r>
  </w:p>
  <w:p w:rsidR="003A16F8" w:rsidRPr="003A16F8" w:rsidRDefault="003A16F8" w:rsidP="003A16F8">
    <w:pPr>
      <w:pStyle w:val="Footer"/>
    </w:pPr>
    <w:r w:rsidRPr="003A16F8">
      <w:rPr>
        <w:sz w:val="18"/>
        <w:szCs w:val="18"/>
      </w:rPr>
      <w:fldChar w:fldCharType="begin"/>
    </w:r>
    <w:r w:rsidRPr="003A16F8">
      <w:rPr>
        <w:sz w:val="18"/>
        <w:szCs w:val="18"/>
      </w:rPr>
      <w:instrText xml:space="preserve"> FILENAME </w:instrText>
    </w:r>
    <w:r w:rsidRPr="003A16F8">
      <w:rPr>
        <w:sz w:val="18"/>
        <w:szCs w:val="18"/>
      </w:rPr>
      <w:fldChar w:fldCharType="separate"/>
    </w:r>
    <w:r w:rsidR="00F40CF2">
      <w:rPr>
        <w:noProof/>
        <w:sz w:val="18"/>
        <w:szCs w:val="18"/>
      </w:rPr>
      <w:t>d4e_techofferquestion_en.doc</w:t>
    </w:r>
    <w:r w:rsidRPr="003A16F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7B" w:rsidRPr="00E725FE" w:rsidRDefault="0088247B">
      <w:r w:rsidRPr="00E725FE">
        <w:separator/>
      </w:r>
    </w:p>
  </w:footnote>
  <w:footnote w:type="continuationSeparator" w:id="0">
    <w:p w:rsidR="0088247B" w:rsidRPr="00E725FE" w:rsidRDefault="0088247B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8" w:rsidRDefault="003A16F8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AB2A0770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8C5630A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7E224EBA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BF66313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52ACB6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674E793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7C2450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A83E0130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D1A650C0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FC0271D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1E85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03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ED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8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80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0F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4D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CA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CFBCE58E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3EC0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8F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83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C2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EE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CD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65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43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433EF89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E29E57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E048E290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6B287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49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87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C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62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C6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FFDE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4DC6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0F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0F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00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E2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48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F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A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3188BA04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B4FFF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821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68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AA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44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6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0D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6C0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F8905B3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D2CE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63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0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7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8E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04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69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A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93083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6AD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66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E8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0E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64A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82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8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E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43A00"/>
    <w:rsid w:val="0004543B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E6189"/>
    <w:rsid w:val="000F39C3"/>
    <w:rsid w:val="001050EE"/>
    <w:rsid w:val="00107540"/>
    <w:rsid w:val="00111B7A"/>
    <w:rsid w:val="00114F35"/>
    <w:rsid w:val="0017313B"/>
    <w:rsid w:val="00173310"/>
    <w:rsid w:val="00195ECF"/>
    <w:rsid w:val="00196F72"/>
    <w:rsid w:val="001978EF"/>
    <w:rsid w:val="001A4E4A"/>
    <w:rsid w:val="001B31E6"/>
    <w:rsid w:val="001C1D2A"/>
    <w:rsid w:val="001E440F"/>
    <w:rsid w:val="00201558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83A5B"/>
    <w:rsid w:val="00286A23"/>
    <w:rsid w:val="00295092"/>
    <w:rsid w:val="002B13F4"/>
    <w:rsid w:val="002B5F47"/>
    <w:rsid w:val="002B6C2D"/>
    <w:rsid w:val="002D0A12"/>
    <w:rsid w:val="002D0B03"/>
    <w:rsid w:val="002D294D"/>
    <w:rsid w:val="002D75A2"/>
    <w:rsid w:val="002F6D2E"/>
    <w:rsid w:val="00301DE9"/>
    <w:rsid w:val="003111D9"/>
    <w:rsid w:val="00311D2D"/>
    <w:rsid w:val="00313521"/>
    <w:rsid w:val="003240A6"/>
    <w:rsid w:val="00327B17"/>
    <w:rsid w:val="003308BB"/>
    <w:rsid w:val="0033332D"/>
    <w:rsid w:val="00346E32"/>
    <w:rsid w:val="003521FE"/>
    <w:rsid w:val="00356B1D"/>
    <w:rsid w:val="00362638"/>
    <w:rsid w:val="00363B97"/>
    <w:rsid w:val="00365D77"/>
    <w:rsid w:val="003721D9"/>
    <w:rsid w:val="00382FE0"/>
    <w:rsid w:val="00392541"/>
    <w:rsid w:val="003A16F8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7B7F"/>
    <w:rsid w:val="00403C36"/>
    <w:rsid w:val="00407129"/>
    <w:rsid w:val="00407C73"/>
    <w:rsid w:val="004112D4"/>
    <w:rsid w:val="00411B7B"/>
    <w:rsid w:val="004156B5"/>
    <w:rsid w:val="004305FD"/>
    <w:rsid w:val="004350B6"/>
    <w:rsid w:val="00435130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843"/>
    <w:rsid w:val="004C192E"/>
    <w:rsid w:val="004D61E0"/>
    <w:rsid w:val="004D6FB2"/>
    <w:rsid w:val="004E52DB"/>
    <w:rsid w:val="004F3026"/>
    <w:rsid w:val="004F7629"/>
    <w:rsid w:val="0050573D"/>
    <w:rsid w:val="00511355"/>
    <w:rsid w:val="0051365E"/>
    <w:rsid w:val="005271DB"/>
    <w:rsid w:val="00530D67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499E"/>
    <w:rsid w:val="005E22D4"/>
    <w:rsid w:val="00612248"/>
    <w:rsid w:val="006218C2"/>
    <w:rsid w:val="00622351"/>
    <w:rsid w:val="00622857"/>
    <w:rsid w:val="00624333"/>
    <w:rsid w:val="006250B5"/>
    <w:rsid w:val="006310E1"/>
    <w:rsid w:val="006316A2"/>
    <w:rsid w:val="0063320F"/>
    <w:rsid w:val="0063518A"/>
    <w:rsid w:val="00641155"/>
    <w:rsid w:val="006610EB"/>
    <w:rsid w:val="00664730"/>
    <w:rsid w:val="00670009"/>
    <w:rsid w:val="00674750"/>
    <w:rsid w:val="0068098D"/>
    <w:rsid w:val="0068234B"/>
    <w:rsid w:val="006872CB"/>
    <w:rsid w:val="00690ED1"/>
    <w:rsid w:val="006934C9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3144A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7577"/>
    <w:rsid w:val="0085796F"/>
    <w:rsid w:val="00866754"/>
    <w:rsid w:val="0086700B"/>
    <w:rsid w:val="0087152F"/>
    <w:rsid w:val="00880541"/>
    <w:rsid w:val="0088247B"/>
    <w:rsid w:val="008824C1"/>
    <w:rsid w:val="00884470"/>
    <w:rsid w:val="0088754E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38C"/>
    <w:rsid w:val="008F168A"/>
    <w:rsid w:val="008F4E9F"/>
    <w:rsid w:val="008F5DE9"/>
    <w:rsid w:val="008F63AC"/>
    <w:rsid w:val="0090187F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1EE7"/>
    <w:rsid w:val="009455FD"/>
    <w:rsid w:val="0094728C"/>
    <w:rsid w:val="00960FC0"/>
    <w:rsid w:val="009639E9"/>
    <w:rsid w:val="0096581E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3587"/>
    <w:rsid w:val="00A057C7"/>
    <w:rsid w:val="00A10BB1"/>
    <w:rsid w:val="00A11047"/>
    <w:rsid w:val="00A113E2"/>
    <w:rsid w:val="00A152B2"/>
    <w:rsid w:val="00A16985"/>
    <w:rsid w:val="00A2031F"/>
    <w:rsid w:val="00A20E4D"/>
    <w:rsid w:val="00A428BC"/>
    <w:rsid w:val="00A5233C"/>
    <w:rsid w:val="00A5429D"/>
    <w:rsid w:val="00A631AC"/>
    <w:rsid w:val="00A77ECC"/>
    <w:rsid w:val="00A81065"/>
    <w:rsid w:val="00A8166C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060A9"/>
    <w:rsid w:val="00C17B19"/>
    <w:rsid w:val="00C202A0"/>
    <w:rsid w:val="00C20DBA"/>
    <w:rsid w:val="00C22074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A35D5"/>
    <w:rsid w:val="00CB0002"/>
    <w:rsid w:val="00CB54F7"/>
    <w:rsid w:val="00CB5E55"/>
    <w:rsid w:val="00CC24E6"/>
    <w:rsid w:val="00CC2D33"/>
    <w:rsid w:val="00CC74DB"/>
    <w:rsid w:val="00CD0A21"/>
    <w:rsid w:val="00CD2624"/>
    <w:rsid w:val="00CD6A68"/>
    <w:rsid w:val="00CE4A2D"/>
    <w:rsid w:val="00CF0E63"/>
    <w:rsid w:val="00CF24DE"/>
    <w:rsid w:val="00CF3F1F"/>
    <w:rsid w:val="00CF7557"/>
    <w:rsid w:val="00D12BF3"/>
    <w:rsid w:val="00D3197A"/>
    <w:rsid w:val="00D40B6F"/>
    <w:rsid w:val="00D45870"/>
    <w:rsid w:val="00D57736"/>
    <w:rsid w:val="00D60BA1"/>
    <w:rsid w:val="00D61604"/>
    <w:rsid w:val="00D63EA6"/>
    <w:rsid w:val="00D77F4B"/>
    <w:rsid w:val="00D907F8"/>
    <w:rsid w:val="00D9227E"/>
    <w:rsid w:val="00D943D4"/>
    <w:rsid w:val="00DA2348"/>
    <w:rsid w:val="00DA5057"/>
    <w:rsid w:val="00DA616A"/>
    <w:rsid w:val="00DB2F80"/>
    <w:rsid w:val="00DB51CA"/>
    <w:rsid w:val="00DB787F"/>
    <w:rsid w:val="00DB7E68"/>
    <w:rsid w:val="00DC1AF8"/>
    <w:rsid w:val="00DC3EAE"/>
    <w:rsid w:val="00DE0327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131A"/>
    <w:rsid w:val="00F13755"/>
    <w:rsid w:val="00F25C13"/>
    <w:rsid w:val="00F32E06"/>
    <w:rsid w:val="00F40CF2"/>
    <w:rsid w:val="00F42490"/>
    <w:rsid w:val="00F46EAC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D5E20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4A07513"/>
  <w15:chartTrackingRefBased/>
  <w15:docId w15:val="{BAA01818-B9CE-4F60-A80B-08662BFE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34E2F-74E6-4529-8CFF-0F426653E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DC433-4BA6-4DBA-8988-333D65599DD6}"/>
</file>

<file path=customXml/itemProps3.xml><?xml version="1.0" encoding="utf-8"?>
<ds:datastoreItem xmlns:ds="http://schemas.openxmlformats.org/officeDocument/2006/customXml" ds:itemID="{CC779AF5-E1A6-4D30-82E0-53D39F4425F3}"/>
</file>

<file path=customXml/itemProps4.xml><?xml version="1.0" encoding="utf-8"?>
<ds:datastoreItem xmlns:ds="http://schemas.openxmlformats.org/officeDocument/2006/customXml" ds:itemID="{D810E3DE-9A3D-415A-8DCB-667BBCFAB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358</Words>
  <Characters>1959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OTERO VEGA Yolanda (DEVCO)</cp:lastModifiedBy>
  <cp:revision>12</cp:revision>
  <cp:lastPrinted>2011-09-27T09:12:00Z</cp:lastPrinted>
  <dcterms:created xsi:type="dcterms:W3CDTF">2018-12-18T11:50:00Z</dcterms:created>
  <dcterms:modified xsi:type="dcterms:W3CDTF">2022-05-18T07:09:00Z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