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015166D" w:rsidR="00D71195" w:rsidRPr="008E410A" w:rsidRDefault="00804B27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18.08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B71FF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0949E5CB" w14:textId="77777777" w:rsidR="00473A90" w:rsidRDefault="00473A90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8D17409" w14:textId="5B81453C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73857234" w14:textId="77777777" w:rsidR="00950566" w:rsidRDefault="00950566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02EA2209" w14:textId="77777777" w:rsidR="00242C85" w:rsidRPr="00242C85" w:rsidRDefault="00242C85" w:rsidP="00242C85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1. </w:t>
      </w:r>
      <w:proofErr w:type="spellStart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</w:t>
      </w:r>
      <w:proofErr w:type="spellEnd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de nivel ierarhic profesional B03 </w:t>
      </w:r>
      <w:r w:rsidRPr="00242C85">
        <w:rPr>
          <w:rFonts w:ascii="Times New Roman" w:hAnsi="Times New Roman" w:cs="Times New Roman"/>
          <w:sz w:val="28"/>
          <w:szCs w:val="28"/>
          <w:lang w:val="ro-RO"/>
        </w:rPr>
        <w:t xml:space="preserve">(corp de </w:t>
      </w:r>
      <w:proofErr w:type="spellStart"/>
      <w:r w:rsidRPr="00242C85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242C85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6B2860E6" w14:textId="77777777" w:rsidR="00242C85" w:rsidRPr="00242C85" w:rsidRDefault="00242C85" w:rsidP="00242C85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071A4927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minime obligatorii cumulative pentru ocuparea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funcţiei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publice cu statut special vacante:</w:t>
      </w:r>
    </w:p>
    <w:p w14:paraId="16750F73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242C85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B0D5348" w14:textId="23DE5DAF" w:rsidR="00824427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în cazul trecerii din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subofiţeri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în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ofiţeri</w:t>
      </w:r>
      <w:proofErr w:type="spellEnd"/>
    </w:p>
    <w:p w14:paraId="4F908AA8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4E4F81" w:rsidRPr="00E43AD6" w14:paraId="344DD7A8" w14:textId="77777777" w:rsidTr="00174745">
        <w:tc>
          <w:tcPr>
            <w:tcW w:w="2376" w:type="dxa"/>
          </w:tcPr>
          <w:p w14:paraId="4FF18C30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009BF34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79D04BC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46F7BD21" w14:textId="2D8AB52D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271FFD97" w14:textId="77777777" w:rsidR="004E4F81" w:rsidRPr="00B71FF8" w:rsidRDefault="004E4F81" w:rsidP="004E4F8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91F640C" w14:textId="40EF0B21" w:rsidR="004E4F81" w:rsidRPr="0038171A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804B27" w:rsidRPr="00804B27" w14:paraId="5B68B518" w14:textId="77777777" w:rsidTr="00174745">
        <w:tc>
          <w:tcPr>
            <w:tcW w:w="2376" w:type="dxa"/>
          </w:tcPr>
          <w:p w14:paraId="22D9F18D" w14:textId="16F750B7" w:rsidR="00804B27" w:rsidRDefault="00804B27" w:rsidP="00804B27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Ofiţer</w:t>
            </w:r>
            <w:proofErr w:type="spellEnd"/>
          </w:p>
          <w:p w14:paraId="0F05F653" w14:textId="1E147721" w:rsidR="00804B27" w:rsidRPr="00ED1ACB" w:rsidRDefault="00804B27" w:rsidP="00804B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(temporar vacantă)</w:t>
            </w:r>
          </w:p>
        </w:tc>
        <w:tc>
          <w:tcPr>
            <w:tcW w:w="3261" w:type="dxa"/>
          </w:tcPr>
          <w:p w14:paraId="122AFCB7" w14:textId="08C04E92" w:rsidR="00804B27" w:rsidRPr="00804B27" w:rsidRDefault="00804B27" w:rsidP="00804B2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Secţia</w:t>
            </w:r>
            <w:proofErr w:type="spellEnd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Detaşamentului</w:t>
            </w:r>
            <w:proofErr w:type="spellEnd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salvatori şi pompieri Ciocana al </w:t>
            </w:r>
            <w:proofErr w:type="spellStart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situații excepționale mun. Chișinău a </w:t>
            </w:r>
            <w:r w:rsidRPr="00804B27">
              <w:rPr>
                <w:rFonts w:ascii="Times New Roman" w:hAnsi="Times New Roman"/>
                <w:sz w:val="24"/>
                <w:szCs w:val="24"/>
                <w:lang w:val="ro-RO"/>
              </w:rPr>
              <w:t>IGSU al MAI.</w:t>
            </w:r>
          </w:p>
          <w:p w14:paraId="162DB626" w14:textId="77777777" w:rsidR="00804B27" w:rsidRPr="00804B27" w:rsidRDefault="00804B27" w:rsidP="00804B2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2B19616" w14:textId="77777777" w:rsidR="00804B27" w:rsidRPr="00804B27" w:rsidRDefault="00804B27" w:rsidP="00804B2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9720A06" w14:textId="680C2390" w:rsidR="00804B27" w:rsidRPr="00804B27" w:rsidRDefault="001015C7" w:rsidP="00804B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="00804B27" w:rsidRPr="00804B2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="00804B27" w:rsidRPr="00804B2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Chisinău</w:t>
            </w:r>
            <w:proofErr w:type="spellEnd"/>
            <w:r w:rsidR="00804B27" w:rsidRPr="00804B2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6BE4423A" w14:textId="115C9FFB" w:rsidR="00804B27" w:rsidRPr="00174745" w:rsidRDefault="00804B27" w:rsidP="00804B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4B2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Maria </w:t>
            </w:r>
            <w:proofErr w:type="spellStart"/>
            <w:r w:rsidRPr="00804B2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Dragan</w:t>
            </w:r>
            <w:proofErr w:type="spellEnd"/>
            <w:r w:rsidRPr="00804B2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3402" w:type="dxa"/>
          </w:tcPr>
          <w:p w14:paraId="1EE09FD7" w14:textId="50D5EBDE" w:rsidR="00804B27" w:rsidRPr="00982F03" w:rsidRDefault="00804B27" w:rsidP="00804B27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Propagarea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cunoştinţelor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domeniul prevenirii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privind măsurile de apărare împotriva incendiilor, acordarea ajutorului metodic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instituţiilor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organizaţiilor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organelor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 locale de nivelul I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însuşirea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prevederilor în domeniul prevenirii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privind măsurile de apărare împotriva incendiilor în teritoriul deservit,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activităţii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prevenire în teritoriul deservit, participarea la lichidarea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urgenţă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precum şi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consecinţilor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acestora, inclusiv în mediu nociv pentru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respiraţie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22" w:type="dxa"/>
          </w:tcPr>
          <w:p w14:paraId="37B1F524" w14:textId="77777777" w:rsidR="00804B27" w:rsidRDefault="00804B27" w:rsidP="00804B2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45B5A9AD" w14:textId="17167D31" w:rsidR="00804B27" w:rsidRPr="00D1642A" w:rsidRDefault="00804B27" w:rsidP="00804B2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01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09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66A8A075" w14:textId="77777777" w:rsidR="00804B27" w:rsidRPr="00804B27" w:rsidRDefault="00804B27" w:rsidP="00804B2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804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804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04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804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04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804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804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6E2089C2" w14:textId="77777777" w:rsidR="00804B27" w:rsidRPr="00804B27" w:rsidRDefault="00804B27" w:rsidP="00804B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 Iacob Hîncu, 3</w:t>
            </w:r>
          </w:p>
          <w:p w14:paraId="7151CED6" w14:textId="77777777" w:rsidR="00804B27" w:rsidRPr="00804B27" w:rsidRDefault="00804B27" w:rsidP="00804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2CCB3D5" w14:textId="77777777" w:rsidR="00804B27" w:rsidRPr="00804B27" w:rsidRDefault="00804B27" w:rsidP="00804B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0A53F1C4" w14:textId="77777777" w:rsidR="00804B27" w:rsidRDefault="00804B27" w:rsidP="00804B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</w:t>
            </w:r>
            <w:proofErr w:type="spellEnd"/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121BDA4F" w14:textId="28637388" w:rsidR="00804B27" w:rsidRPr="00804B27" w:rsidRDefault="00804B27" w:rsidP="00804B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4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 (022) 245-558</w:t>
            </w:r>
          </w:p>
          <w:p w14:paraId="2AF38602" w14:textId="229B1C16" w:rsidR="00804B27" w:rsidRPr="00174745" w:rsidRDefault="00804B27" w:rsidP="00804B2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73A90" w:rsidRPr="00E43AD6" w14:paraId="5191A2DC" w14:textId="77777777" w:rsidTr="008A6FAA">
        <w:tc>
          <w:tcPr>
            <w:tcW w:w="15307" w:type="dxa"/>
            <w:gridSpan w:val="5"/>
          </w:tcPr>
          <w:p w14:paraId="105D55B3" w14:textId="77777777" w:rsidR="00473A90" w:rsidRDefault="00473A90" w:rsidP="0047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F846AA" w14:textId="6E82835A" w:rsidR="00473A90" w:rsidRPr="00824427" w:rsidRDefault="00473A90" w:rsidP="0047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4E67DF90" w14:textId="77777777" w:rsidR="007B3845" w:rsidRDefault="007B3845" w:rsidP="007B3845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nr.288 din 16.12.2016 privind funcţionarul public cu statut special din cadrul Ministerului Afacerilor Interne;</w:t>
            </w:r>
          </w:p>
          <w:p w14:paraId="01F88370" w14:textId="77777777" w:rsidR="007B3845" w:rsidRDefault="007B3845" w:rsidP="007B3845">
            <w:pPr>
              <w:pStyle w:val="NormalWeb"/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35D71749" w14:textId="77777777" w:rsidR="007B3845" w:rsidRDefault="007B3845" w:rsidP="007B3845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nr.271-XIII din 09.11.1994 cu privire la protecția civilă;</w:t>
            </w:r>
          </w:p>
          <w:p w14:paraId="17A51CD2" w14:textId="77777777" w:rsidR="007B3845" w:rsidRDefault="007B3845" w:rsidP="007B3845">
            <w:pPr>
              <w:pStyle w:val="NormalWeb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Legea</w:t>
            </w:r>
            <w:proofErr w:type="spellEnd"/>
            <w:r>
              <w:rPr>
                <w:bCs/>
                <w:lang w:val="en-US"/>
              </w:rPr>
              <w:t> nr.277 </w:t>
            </w:r>
            <w:proofErr w:type="gramStart"/>
            <w:r>
              <w:rPr>
                <w:bCs/>
                <w:lang w:val="en-US"/>
              </w:rPr>
              <w:t>din  29.11.2018</w:t>
            </w:r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344F71D7" w14:textId="77777777" w:rsidR="007B3845" w:rsidRDefault="007B3845" w:rsidP="007B3845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nr.93-XVI din 05.04.2007 Legea Inspectoratului General pentru Situaţii de Urgenţă;</w:t>
            </w:r>
          </w:p>
          <w:p w14:paraId="66CF1EDE" w14:textId="77777777" w:rsidR="007B3845" w:rsidRDefault="007B3845" w:rsidP="007B3845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funcţionarul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Afacerilor</w:t>
            </w:r>
            <w:proofErr w:type="spellEnd"/>
            <w:r>
              <w:rPr>
                <w:b w:val="0"/>
                <w:lang w:val="en-US"/>
              </w:rPr>
              <w:t xml:space="preserve"> Interne;</w:t>
            </w:r>
          </w:p>
          <w:p w14:paraId="32E01BB7" w14:textId="77777777" w:rsidR="007B3845" w:rsidRDefault="007B3845" w:rsidP="007B3845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5A9418FD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la modul de acumulare şi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7E8F961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657F18E6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57EB1049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FDCAD76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7FF78C1D" w14:textId="77777777" w:rsidR="007B3845" w:rsidRDefault="007B3845" w:rsidP="007B3845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6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56C7254D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30EEE30D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578928A9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3E9CB6A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7B2D6A2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184F949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>
              <w:rPr>
                <w:rStyle w:val="Hyperlink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400561DE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Cu privire la aprobarea Regulamentului privind acţiunile de luptă a pompierilor şi salvatorilor Departamentului Situaţii Excepţionale la lichidarea consecinţelor situaţiilor excepţionale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29884DC7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6D1C93B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7C5CF906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15CA5817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0EA2160B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7B34537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2174357C" w14:textId="77777777" w:rsidR="007B3845" w:rsidRDefault="007B3845" w:rsidP="007B384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4D5BB092" w14:textId="61C7C144" w:rsidR="00473A90" w:rsidRPr="007B3845" w:rsidRDefault="00473A90" w:rsidP="00473A90">
            <w:pPr>
              <w:pStyle w:val="Corptext2"/>
              <w:spacing w:after="0" w:line="276" w:lineRule="auto"/>
              <w:jc w:val="both"/>
              <w:rPr>
                <w:b/>
                <w:lang w:val="ro-RO"/>
              </w:rPr>
            </w:pPr>
          </w:p>
        </w:tc>
      </w:tr>
    </w:tbl>
    <w:p w14:paraId="5B21B93F" w14:textId="77777777" w:rsidR="004E4F81" w:rsidRPr="00A969A7" w:rsidRDefault="004E4F81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688AC35D" w14:textId="77777777" w:rsidR="00D63834" w:rsidRPr="001519FB" w:rsidRDefault="00E43AD6" w:rsidP="00D63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2</w:t>
      </w:r>
      <w:r w:rsidRPr="00B71FF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="00D63834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="00D63834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 w:rsidR="00D63834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E75B575" w14:textId="77777777" w:rsidR="00D63834" w:rsidRPr="00824427" w:rsidRDefault="00D63834" w:rsidP="00D63834">
      <w:pPr>
        <w:pStyle w:val="Listparagraf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(imediat superioară </w:t>
      </w:r>
      <w:proofErr w:type="spellStart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funcţiei</w:t>
      </w:r>
      <w:proofErr w:type="spellEnd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nivel B03)</w:t>
      </w:r>
    </w:p>
    <w:p w14:paraId="74BF07D7" w14:textId="77777777" w:rsidR="00D63834" w:rsidRPr="00851217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F9CC81A" w14:textId="77777777" w:rsidR="00D63834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CB5772C" w14:textId="77777777" w:rsidR="00D63834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3478AB57" w14:textId="78A991C5" w:rsidR="004E4F81" w:rsidRPr="00D63834" w:rsidRDefault="004E4F81" w:rsidP="00D63834">
      <w:pPr>
        <w:pStyle w:val="Listparagra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E43AD6" w:rsidRPr="00E43AD6" w14:paraId="6EE10C29" w14:textId="77777777" w:rsidTr="00BF56C4">
        <w:tc>
          <w:tcPr>
            <w:tcW w:w="2376" w:type="dxa"/>
          </w:tcPr>
          <w:p w14:paraId="320ABE79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6139FBF3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08838ADF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39734E93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179A34C6" w14:textId="77777777" w:rsidR="00E43AD6" w:rsidRPr="00B71FF8" w:rsidRDefault="00E43AD6" w:rsidP="00BF56C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11E73B77" w14:textId="77777777" w:rsidR="00E43AD6" w:rsidRPr="0038171A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43AD6" w:rsidRPr="007B629D" w14:paraId="34B6D644" w14:textId="77777777" w:rsidTr="00BF56C4">
        <w:tc>
          <w:tcPr>
            <w:tcW w:w="2376" w:type="dxa"/>
          </w:tcPr>
          <w:p w14:paraId="4A9C691F" w14:textId="77777777" w:rsidR="00E43AD6" w:rsidRPr="009003B5" w:rsidRDefault="00E43AD6" w:rsidP="00BF56C4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003B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Ofițer superior </w:t>
            </w:r>
          </w:p>
          <w:p w14:paraId="6D799736" w14:textId="77777777" w:rsidR="00E43AD6" w:rsidRPr="00174745" w:rsidRDefault="00E43AD6" w:rsidP="00BF56C4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261" w:type="dxa"/>
          </w:tcPr>
          <w:p w14:paraId="20B3EA93" w14:textId="3B51C01A" w:rsidR="00E43AD6" w:rsidRPr="00E43AD6" w:rsidRDefault="00E43AD6" w:rsidP="00E43A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3A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administrarea patrimoniului și dezvoltarea infrastructurii a Direcției logistică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IGSU</w:t>
            </w:r>
          </w:p>
          <w:p w14:paraId="313ABFBA" w14:textId="77777777" w:rsidR="00E43AD6" w:rsidRPr="00E43AD6" w:rsidRDefault="00E43AD6" w:rsidP="00E43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2301E" w14:textId="77777777" w:rsidR="00E43AD6" w:rsidRDefault="00E43AD6" w:rsidP="00E43A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E43AD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E43AD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7F54EF55" w14:textId="1C1D722F" w:rsidR="00E43AD6" w:rsidRPr="00174745" w:rsidRDefault="00E43AD6" w:rsidP="00E43A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43AD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E43AD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3402" w:type="dxa"/>
          </w:tcPr>
          <w:p w14:paraId="786E7D0C" w14:textId="1B888ECA" w:rsidR="00E43AD6" w:rsidRPr="00C04BFB" w:rsidRDefault="00C04BFB" w:rsidP="00C04BFB">
            <w:pPr>
              <w:pStyle w:val="Listparagraf"/>
              <w:ind w:left="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Eviden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modul de exploatare a mijloacelor de transport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a tehnicii speciale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scopul </w:t>
            </w:r>
            <w:proofErr w:type="spellStart"/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inerii</w:t>
            </w:r>
            <w:proofErr w:type="spellEnd"/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acesteia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stare perfect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ionare</w:t>
            </w:r>
            <w:proofErr w:type="spellEnd"/>
            <w:r w:rsidRPr="00C04B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22" w:type="dxa"/>
          </w:tcPr>
          <w:p w14:paraId="41C0283A" w14:textId="77777777" w:rsidR="00E43AD6" w:rsidRDefault="00E43AD6" w:rsidP="00BF56C4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03D3FE15" w14:textId="6D98F2D5" w:rsidR="00E43AD6" w:rsidRPr="00D1642A" w:rsidRDefault="00E43AD6" w:rsidP="00BF56C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13518817" w14:textId="77777777" w:rsidR="00E43AD6" w:rsidRDefault="00E43AD6" w:rsidP="00E43AD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9DE8464" w14:textId="77777777" w:rsidR="00E43AD6" w:rsidRDefault="00E43AD6" w:rsidP="00E43AD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2889C659" w14:textId="77777777" w:rsidR="00E43AD6" w:rsidRDefault="00E43AD6" w:rsidP="00E43AD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488B0BE3" w14:textId="77777777" w:rsidR="00E43AD6" w:rsidRDefault="00E43AD6" w:rsidP="00E43AD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792C549C" w14:textId="1953EF37" w:rsidR="00E43AD6" w:rsidRPr="00174745" w:rsidRDefault="00E43AD6" w:rsidP="00E43AD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E43AD6" w:rsidRPr="007C6151" w14:paraId="72A27541" w14:textId="77777777" w:rsidTr="00BF56C4">
        <w:tc>
          <w:tcPr>
            <w:tcW w:w="15307" w:type="dxa"/>
            <w:gridSpan w:val="5"/>
          </w:tcPr>
          <w:p w14:paraId="6546B043" w14:textId="77777777" w:rsidR="00E43AD6" w:rsidRDefault="00E43AD6" w:rsidP="00BF5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154A6F1" w14:textId="77777777" w:rsidR="007C6151" w:rsidRPr="007C6151" w:rsidRDefault="007C6151" w:rsidP="007C6151">
            <w:pPr>
              <w:pStyle w:val="cn"/>
              <w:rPr>
                <w:b/>
                <w:bCs/>
                <w:lang w:val="ro-RO"/>
              </w:rPr>
            </w:pPr>
            <w:r w:rsidRPr="007C6151">
              <w:rPr>
                <w:b/>
                <w:bCs/>
                <w:lang w:val="ro-RO"/>
              </w:rPr>
              <w:t>Bibliografia</w:t>
            </w:r>
          </w:p>
          <w:p w14:paraId="079568FC" w14:textId="77777777" w:rsidR="007C6151" w:rsidRPr="007C6151" w:rsidRDefault="007C6151" w:rsidP="007C6151">
            <w:pPr>
              <w:pStyle w:val="cn"/>
              <w:rPr>
                <w:b/>
                <w:lang w:val="ro-RO"/>
              </w:rPr>
            </w:pPr>
            <w:r w:rsidRPr="007C6151">
              <w:rPr>
                <w:b/>
                <w:lang w:val="ro-RO"/>
              </w:rPr>
              <w:t>(domeniul logistic)</w:t>
            </w:r>
          </w:p>
          <w:p w14:paraId="09E94193" w14:textId="77777777" w:rsidR="007C6151" w:rsidRPr="007C6151" w:rsidRDefault="007C6151" w:rsidP="007C6151">
            <w:pPr>
              <w:pStyle w:val="cn"/>
              <w:rPr>
                <w:b/>
                <w:lang w:val="ro-RO"/>
              </w:rPr>
            </w:pPr>
          </w:p>
          <w:p w14:paraId="54855674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>Legea nr.288/2016 privind funcţionarul public cu statut special din cadrul Ministerului Afacerilor Interne;</w:t>
            </w:r>
          </w:p>
          <w:p w14:paraId="1A5286DF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 xml:space="preserve">Legea nr.131/2015 privind </w:t>
            </w:r>
            <w:proofErr w:type="spellStart"/>
            <w:r w:rsidRPr="007C6151">
              <w:rPr>
                <w:lang w:val="ro-RO"/>
              </w:rPr>
              <w:t>achiziţiile</w:t>
            </w:r>
            <w:proofErr w:type="spellEnd"/>
            <w:r w:rsidRPr="007C6151">
              <w:rPr>
                <w:lang w:val="ro-RO"/>
              </w:rPr>
              <w:t xml:space="preserve"> publice;</w:t>
            </w:r>
          </w:p>
          <w:p w14:paraId="6B0CCD9C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 xml:space="preserve">Legea nr.121/2007 privind administrarea și </w:t>
            </w:r>
            <w:proofErr w:type="spellStart"/>
            <w:r w:rsidRPr="007C6151">
              <w:rPr>
                <w:lang w:val="ro-RO"/>
              </w:rPr>
              <w:t>deetatizarea</w:t>
            </w:r>
            <w:proofErr w:type="spellEnd"/>
            <w:r w:rsidRPr="007C6151">
              <w:rPr>
                <w:lang w:val="ro-RO"/>
              </w:rPr>
              <w:t xml:space="preserve"> proprietății publice.</w:t>
            </w:r>
          </w:p>
          <w:p w14:paraId="6538C724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>HG nr.460/2017 pentru punerea în aplicare a Legii nr.288/2016 privind funcţionarul public cu statut special din cadrul Ministerului Afacerilor Interne;</w:t>
            </w:r>
          </w:p>
          <w:p w14:paraId="4E3C9874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 xml:space="preserve">HG </w:t>
            </w:r>
            <w:bookmarkStart w:id="0" w:name="_Hlk153204419"/>
            <w:r w:rsidRPr="007C6151">
              <w:rPr>
                <w:lang w:val="ro-RO"/>
              </w:rPr>
              <w:t xml:space="preserve">nr.870/2022 </w:t>
            </w:r>
            <w:bookmarkEnd w:id="0"/>
            <w:r w:rsidRPr="007C6151">
              <w:rPr>
                <w:lang w:val="ro-RO"/>
              </w:rPr>
              <w:t xml:space="preserve">pentru aprobarea Regulamentului cu privire la </w:t>
            </w:r>
            <w:proofErr w:type="spellStart"/>
            <w:r w:rsidRPr="007C6151">
              <w:rPr>
                <w:lang w:val="ro-RO"/>
              </w:rPr>
              <w:t>achiziţiile</w:t>
            </w:r>
            <w:proofErr w:type="spellEnd"/>
            <w:r w:rsidRPr="007C6151">
              <w:rPr>
                <w:lang w:val="ro-RO"/>
              </w:rPr>
              <w:t xml:space="preserve"> publice de valoare mică;</w:t>
            </w:r>
          </w:p>
          <w:p w14:paraId="05B174F5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 xml:space="preserve">HG nr.778/2020 pentru aprobarea Regulamentului cu privire la întocmirea şi păstrarea dosarului </w:t>
            </w:r>
            <w:proofErr w:type="spellStart"/>
            <w:r w:rsidRPr="007C6151">
              <w:rPr>
                <w:lang w:val="ro-RO"/>
              </w:rPr>
              <w:t>achiziţiei</w:t>
            </w:r>
            <w:proofErr w:type="spellEnd"/>
            <w:r w:rsidRPr="007C6151">
              <w:rPr>
                <w:lang w:val="ro-RO"/>
              </w:rPr>
              <w:t xml:space="preserve"> publice.</w:t>
            </w:r>
          </w:p>
          <w:p w14:paraId="03E0942E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>HG nr.500/1998 despre aprobarea Regulamentului privind casarea bunurilor uzate, raportate la mijloacele fixe.</w:t>
            </w:r>
          </w:p>
          <w:p w14:paraId="59A14C87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>HG nr.901/2015 pentru aprobarea Regulamentului cu privire la modul de transmitere a bunurilor proprietate publică.</w:t>
            </w:r>
          </w:p>
          <w:p w14:paraId="1C01AA24" w14:textId="77777777" w:rsidR="007C6151" w:rsidRPr="007C6151" w:rsidRDefault="007C6151" w:rsidP="007C6151">
            <w:pPr>
              <w:pStyle w:val="cn"/>
              <w:numPr>
                <w:ilvl w:val="0"/>
                <w:numId w:val="47"/>
              </w:numPr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>HG nr.676/2023 privind aprobarea normelor, descrierii şi modelului uniformei funcţionarului public cu statut special din cadrul Ministerului Afacerilor Interne.</w:t>
            </w:r>
          </w:p>
          <w:p w14:paraId="06E8EB6B" w14:textId="5B88DAF8" w:rsidR="007C6151" w:rsidRPr="007C6151" w:rsidRDefault="007C6151" w:rsidP="007C6151">
            <w:pPr>
              <w:pStyle w:val="cn"/>
              <w:ind w:left="306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lastRenderedPageBreak/>
              <w:t>10. Ordinul IGSU nr.170 din 18 septembrie 2024 Cu privire la aprobarea</w:t>
            </w:r>
          </w:p>
          <w:p w14:paraId="309C0E29" w14:textId="77777777" w:rsidR="007C6151" w:rsidRPr="007C6151" w:rsidRDefault="007C6151" w:rsidP="007C6151">
            <w:pPr>
              <w:pStyle w:val="cn"/>
              <w:ind w:left="731"/>
              <w:jc w:val="left"/>
              <w:rPr>
                <w:lang w:val="ro-RO"/>
              </w:rPr>
            </w:pPr>
            <w:r w:rsidRPr="007C6151">
              <w:rPr>
                <w:lang w:val="ro-RO"/>
              </w:rPr>
              <w:t>Regulamentului cu privire la gestionarea patrimoniului Inspectoratului General pentru Situații de Urgență al MAI (publicat pe sit-</w:t>
            </w:r>
            <w:proofErr w:type="spellStart"/>
            <w:r w:rsidRPr="007C6151">
              <w:rPr>
                <w:lang w:val="ro-RO"/>
              </w:rPr>
              <w:t>ul</w:t>
            </w:r>
            <w:proofErr w:type="spellEnd"/>
            <w:r w:rsidRPr="007C6151">
              <w:rPr>
                <w:lang w:val="ro-RO"/>
              </w:rPr>
              <w:t xml:space="preserve"> dse.md (Cadrul juridic, Acte normative)).</w:t>
            </w:r>
          </w:p>
          <w:p w14:paraId="2A2BEFFD" w14:textId="0849DB29" w:rsidR="00E43AD6" w:rsidRPr="007C6151" w:rsidRDefault="00E43AD6" w:rsidP="00BF56C4">
            <w:pPr>
              <w:pStyle w:val="cn"/>
              <w:jc w:val="both"/>
              <w:rPr>
                <w:b/>
                <w:lang w:val="ro-RO"/>
              </w:rPr>
            </w:pPr>
          </w:p>
        </w:tc>
      </w:tr>
    </w:tbl>
    <w:p w14:paraId="22542A4F" w14:textId="77777777" w:rsidR="00E43AD6" w:rsidRPr="007C6151" w:rsidRDefault="00E43AD6" w:rsidP="005C2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E43AD6" w:rsidRPr="007C6151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EC"/>
    <w:multiLevelType w:val="hybridMultilevel"/>
    <w:tmpl w:val="2BE8B3C2"/>
    <w:lvl w:ilvl="0" w:tplc="2E98C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B18"/>
    <w:multiLevelType w:val="hybridMultilevel"/>
    <w:tmpl w:val="EB7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C6F"/>
    <w:multiLevelType w:val="hybridMultilevel"/>
    <w:tmpl w:val="77601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5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999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30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40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400952">
    <w:abstractNumId w:val="35"/>
  </w:num>
  <w:num w:numId="6" w16cid:durableId="2146771901">
    <w:abstractNumId w:val="4"/>
  </w:num>
  <w:num w:numId="7" w16cid:durableId="2009285485">
    <w:abstractNumId w:val="42"/>
  </w:num>
  <w:num w:numId="8" w16cid:durableId="255602541">
    <w:abstractNumId w:val="10"/>
  </w:num>
  <w:num w:numId="9" w16cid:durableId="1436899300">
    <w:abstractNumId w:val="19"/>
  </w:num>
  <w:num w:numId="10" w16cid:durableId="1434014018">
    <w:abstractNumId w:val="22"/>
  </w:num>
  <w:num w:numId="11" w16cid:durableId="1227568047">
    <w:abstractNumId w:val="34"/>
  </w:num>
  <w:num w:numId="12" w16cid:durableId="734201743">
    <w:abstractNumId w:val="7"/>
  </w:num>
  <w:num w:numId="13" w16cid:durableId="443574246">
    <w:abstractNumId w:val="29"/>
  </w:num>
  <w:num w:numId="14" w16cid:durableId="435247134">
    <w:abstractNumId w:val="13"/>
  </w:num>
  <w:num w:numId="15" w16cid:durableId="612442288">
    <w:abstractNumId w:val="36"/>
  </w:num>
  <w:num w:numId="16" w16cid:durableId="982270515">
    <w:abstractNumId w:val="11"/>
  </w:num>
  <w:num w:numId="17" w16cid:durableId="1397047502">
    <w:abstractNumId w:val="26"/>
  </w:num>
  <w:num w:numId="18" w16cid:durableId="346758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305920">
    <w:abstractNumId w:val="30"/>
  </w:num>
  <w:num w:numId="20" w16cid:durableId="15273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4393431">
    <w:abstractNumId w:val="37"/>
  </w:num>
  <w:num w:numId="22" w16cid:durableId="517039801">
    <w:abstractNumId w:val="14"/>
  </w:num>
  <w:num w:numId="23" w16cid:durableId="55932602">
    <w:abstractNumId w:val="23"/>
  </w:num>
  <w:num w:numId="24" w16cid:durableId="1862626532">
    <w:abstractNumId w:val="9"/>
  </w:num>
  <w:num w:numId="25" w16cid:durableId="2125953191">
    <w:abstractNumId w:val="5"/>
  </w:num>
  <w:num w:numId="26" w16cid:durableId="2146965221">
    <w:abstractNumId w:val="8"/>
  </w:num>
  <w:num w:numId="27" w16cid:durableId="1287153661">
    <w:abstractNumId w:val="20"/>
  </w:num>
  <w:num w:numId="28" w16cid:durableId="1441871016">
    <w:abstractNumId w:val="25"/>
  </w:num>
  <w:num w:numId="29" w16cid:durableId="2120951710">
    <w:abstractNumId w:val="38"/>
  </w:num>
  <w:num w:numId="30" w16cid:durableId="640697837">
    <w:abstractNumId w:val="6"/>
  </w:num>
  <w:num w:numId="31" w16cid:durableId="1021247618">
    <w:abstractNumId w:val="12"/>
  </w:num>
  <w:num w:numId="32" w16cid:durableId="1188250049">
    <w:abstractNumId w:val="15"/>
  </w:num>
  <w:num w:numId="33" w16cid:durableId="1444375735">
    <w:abstractNumId w:val="17"/>
  </w:num>
  <w:num w:numId="34" w16cid:durableId="65929870">
    <w:abstractNumId w:val="43"/>
  </w:num>
  <w:num w:numId="35" w16cid:durableId="11640046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85347">
    <w:abstractNumId w:val="33"/>
  </w:num>
  <w:num w:numId="37" w16cid:durableId="1078940446">
    <w:abstractNumId w:val="24"/>
  </w:num>
  <w:num w:numId="38" w16cid:durableId="470514149">
    <w:abstractNumId w:val="39"/>
  </w:num>
  <w:num w:numId="39" w16cid:durableId="596060297">
    <w:abstractNumId w:val="39"/>
  </w:num>
  <w:num w:numId="40" w16cid:durableId="1363943539">
    <w:abstractNumId w:val="32"/>
  </w:num>
  <w:num w:numId="41" w16cid:durableId="1780220457">
    <w:abstractNumId w:val="31"/>
  </w:num>
  <w:num w:numId="42" w16cid:durableId="967932571">
    <w:abstractNumId w:val="27"/>
  </w:num>
  <w:num w:numId="43" w16cid:durableId="915936500">
    <w:abstractNumId w:val="21"/>
  </w:num>
  <w:num w:numId="44" w16cid:durableId="866913557">
    <w:abstractNumId w:val="0"/>
  </w:num>
  <w:num w:numId="45" w16cid:durableId="1639341395">
    <w:abstractNumId w:val="1"/>
  </w:num>
  <w:num w:numId="46" w16cid:durableId="380204220">
    <w:abstractNumId w:val="2"/>
  </w:num>
  <w:num w:numId="47" w16cid:durableId="1372532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48D0"/>
    <w:rsid w:val="000848E3"/>
    <w:rsid w:val="0008597F"/>
    <w:rsid w:val="000921AC"/>
    <w:rsid w:val="000A04D3"/>
    <w:rsid w:val="000A2F23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3FB3"/>
    <w:rsid w:val="000C5247"/>
    <w:rsid w:val="000C59BA"/>
    <w:rsid w:val="000C5D47"/>
    <w:rsid w:val="000C73C1"/>
    <w:rsid w:val="000D116B"/>
    <w:rsid w:val="000D4334"/>
    <w:rsid w:val="000D4C84"/>
    <w:rsid w:val="000D5744"/>
    <w:rsid w:val="000D7B3E"/>
    <w:rsid w:val="000E1E3D"/>
    <w:rsid w:val="000E393B"/>
    <w:rsid w:val="000E4CA3"/>
    <w:rsid w:val="000E6B7E"/>
    <w:rsid w:val="000F2351"/>
    <w:rsid w:val="000F2A07"/>
    <w:rsid w:val="000F3600"/>
    <w:rsid w:val="000F4E78"/>
    <w:rsid w:val="000F7BA2"/>
    <w:rsid w:val="001015C7"/>
    <w:rsid w:val="00101EB6"/>
    <w:rsid w:val="00102DEC"/>
    <w:rsid w:val="00110270"/>
    <w:rsid w:val="001137E4"/>
    <w:rsid w:val="00113E92"/>
    <w:rsid w:val="00121B33"/>
    <w:rsid w:val="00122908"/>
    <w:rsid w:val="00124575"/>
    <w:rsid w:val="00132C75"/>
    <w:rsid w:val="00133F6B"/>
    <w:rsid w:val="001375E5"/>
    <w:rsid w:val="00137D45"/>
    <w:rsid w:val="001422B9"/>
    <w:rsid w:val="001434E5"/>
    <w:rsid w:val="00143A01"/>
    <w:rsid w:val="001443D2"/>
    <w:rsid w:val="0015060A"/>
    <w:rsid w:val="001506D5"/>
    <w:rsid w:val="001519FB"/>
    <w:rsid w:val="001537E0"/>
    <w:rsid w:val="00155394"/>
    <w:rsid w:val="00157BCD"/>
    <w:rsid w:val="00160B3E"/>
    <w:rsid w:val="00161AEA"/>
    <w:rsid w:val="001644B3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0C69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2C85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81172"/>
    <w:rsid w:val="0028196D"/>
    <w:rsid w:val="0028258C"/>
    <w:rsid w:val="0028287D"/>
    <w:rsid w:val="0028476C"/>
    <w:rsid w:val="00284FBB"/>
    <w:rsid w:val="00291FB9"/>
    <w:rsid w:val="00292EAA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0ED9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2A92"/>
    <w:rsid w:val="004148A1"/>
    <w:rsid w:val="0041769F"/>
    <w:rsid w:val="00422163"/>
    <w:rsid w:val="004222D3"/>
    <w:rsid w:val="00424B08"/>
    <w:rsid w:val="0042750E"/>
    <w:rsid w:val="00430432"/>
    <w:rsid w:val="00431478"/>
    <w:rsid w:val="004324DF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A90"/>
    <w:rsid w:val="00473EE9"/>
    <w:rsid w:val="00473F30"/>
    <w:rsid w:val="004756D6"/>
    <w:rsid w:val="00482424"/>
    <w:rsid w:val="004834D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2950"/>
    <w:rsid w:val="004B3FC9"/>
    <w:rsid w:val="004C10F5"/>
    <w:rsid w:val="004C232B"/>
    <w:rsid w:val="004D0467"/>
    <w:rsid w:val="004D5BC2"/>
    <w:rsid w:val="004D6FE7"/>
    <w:rsid w:val="004E2220"/>
    <w:rsid w:val="004E23BB"/>
    <w:rsid w:val="004E4F81"/>
    <w:rsid w:val="004E755F"/>
    <w:rsid w:val="004F028B"/>
    <w:rsid w:val="004F2EF9"/>
    <w:rsid w:val="004F4486"/>
    <w:rsid w:val="00502B35"/>
    <w:rsid w:val="005032DD"/>
    <w:rsid w:val="00510DEF"/>
    <w:rsid w:val="005135F0"/>
    <w:rsid w:val="00513F21"/>
    <w:rsid w:val="00517041"/>
    <w:rsid w:val="00525553"/>
    <w:rsid w:val="00525AFD"/>
    <w:rsid w:val="005266C5"/>
    <w:rsid w:val="00526AD6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82E7E"/>
    <w:rsid w:val="005901E6"/>
    <w:rsid w:val="00590F44"/>
    <w:rsid w:val="005931CC"/>
    <w:rsid w:val="0059492A"/>
    <w:rsid w:val="00595D37"/>
    <w:rsid w:val="005A17E7"/>
    <w:rsid w:val="005A4180"/>
    <w:rsid w:val="005A4CB2"/>
    <w:rsid w:val="005A769C"/>
    <w:rsid w:val="005B0492"/>
    <w:rsid w:val="005B0B4F"/>
    <w:rsid w:val="005B167A"/>
    <w:rsid w:val="005B1B3A"/>
    <w:rsid w:val="005B2CF4"/>
    <w:rsid w:val="005B34F1"/>
    <w:rsid w:val="005B4594"/>
    <w:rsid w:val="005B642A"/>
    <w:rsid w:val="005B6C41"/>
    <w:rsid w:val="005C26A5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62F4"/>
    <w:rsid w:val="005D6869"/>
    <w:rsid w:val="005E0462"/>
    <w:rsid w:val="005E1B01"/>
    <w:rsid w:val="005E23C2"/>
    <w:rsid w:val="005E5A9E"/>
    <w:rsid w:val="005F3938"/>
    <w:rsid w:val="0060198E"/>
    <w:rsid w:val="00602EAC"/>
    <w:rsid w:val="006033D1"/>
    <w:rsid w:val="00605EAC"/>
    <w:rsid w:val="00610F8B"/>
    <w:rsid w:val="006139A2"/>
    <w:rsid w:val="0061655A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B3C"/>
    <w:rsid w:val="00657C5B"/>
    <w:rsid w:val="006602F9"/>
    <w:rsid w:val="00664313"/>
    <w:rsid w:val="00665040"/>
    <w:rsid w:val="00670B95"/>
    <w:rsid w:val="00671501"/>
    <w:rsid w:val="006802A8"/>
    <w:rsid w:val="00681315"/>
    <w:rsid w:val="00690E43"/>
    <w:rsid w:val="006A08DF"/>
    <w:rsid w:val="006A3B78"/>
    <w:rsid w:val="006A728D"/>
    <w:rsid w:val="006B29FF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69CA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2639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A30CB"/>
    <w:rsid w:val="007A47B1"/>
    <w:rsid w:val="007A500D"/>
    <w:rsid w:val="007B1A95"/>
    <w:rsid w:val="007B2F21"/>
    <w:rsid w:val="007B3845"/>
    <w:rsid w:val="007B42C3"/>
    <w:rsid w:val="007B5B03"/>
    <w:rsid w:val="007B629D"/>
    <w:rsid w:val="007B716E"/>
    <w:rsid w:val="007C198F"/>
    <w:rsid w:val="007C35B1"/>
    <w:rsid w:val="007C615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4B27"/>
    <w:rsid w:val="0080531D"/>
    <w:rsid w:val="00807B23"/>
    <w:rsid w:val="008131AE"/>
    <w:rsid w:val="008217D1"/>
    <w:rsid w:val="00823C35"/>
    <w:rsid w:val="00824427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F90"/>
    <w:rsid w:val="00975FFA"/>
    <w:rsid w:val="00981601"/>
    <w:rsid w:val="00982730"/>
    <w:rsid w:val="00982F03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F0105"/>
    <w:rsid w:val="009F5CCA"/>
    <w:rsid w:val="00A030BA"/>
    <w:rsid w:val="00A046F8"/>
    <w:rsid w:val="00A0763D"/>
    <w:rsid w:val="00A1116D"/>
    <w:rsid w:val="00A12DBA"/>
    <w:rsid w:val="00A159FB"/>
    <w:rsid w:val="00A243EE"/>
    <w:rsid w:val="00A259DF"/>
    <w:rsid w:val="00A261CC"/>
    <w:rsid w:val="00A27929"/>
    <w:rsid w:val="00A30538"/>
    <w:rsid w:val="00A30DA0"/>
    <w:rsid w:val="00A310AD"/>
    <w:rsid w:val="00A327EB"/>
    <w:rsid w:val="00A34B3F"/>
    <w:rsid w:val="00A3526E"/>
    <w:rsid w:val="00A41704"/>
    <w:rsid w:val="00A41EA0"/>
    <w:rsid w:val="00A4278C"/>
    <w:rsid w:val="00A44A11"/>
    <w:rsid w:val="00A50EE6"/>
    <w:rsid w:val="00A51ACB"/>
    <w:rsid w:val="00A53D89"/>
    <w:rsid w:val="00A55A3B"/>
    <w:rsid w:val="00A56F0B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969A7"/>
    <w:rsid w:val="00AA020F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21CCD"/>
    <w:rsid w:val="00B2212E"/>
    <w:rsid w:val="00B23850"/>
    <w:rsid w:val="00B23D64"/>
    <w:rsid w:val="00B252D6"/>
    <w:rsid w:val="00B30825"/>
    <w:rsid w:val="00B33E69"/>
    <w:rsid w:val="00B357F7"/>
    <w:rsid w:val="00B36761"/>
    <w:rsid w:val="00B411EB"/>
    <w:rsid w:val="00B41989"/>
    <w:rsid w:val="00B41D08"/>
    <w:rsid w:val="00B43408"/>
    <w:rsid w:val="00B4413E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1FF8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2E36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BFB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640F"/>
    <w:rsid w:val="00C47D9A"/>
    <w:rsid w:val="00C50630"/>
    <w:rsid w:val="00C5218B"/>
    <w:rsid w:val="00C53A27"/>
    <w:rsid w:val="00C55E3B"/>
    <w:rsid w:val="00C60471"/>
    <w:rsid w:val="00C6076C"/>
    <w:rsid w:val="00C61059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26C8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300E7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3834"/>
    <w:rsid w:val="00D66302"/>
    <w:rsid w:val="00D71195"/>
    <w:rsid w:val="00D761F8"/>
    <w:rsid w:val="00D80C07"/>
    <w:rsid w:val="00D8160F"/>
    <w:rsid w:val="00D83CF0"/>
    <w:rsid w:val="00D87794"/>
    <w:rsid w:val="00D91277"/>
    <w:rsid w:val="00D965C3"/>
    <w:rsid w:val="00D969AA"/>
    <w:rsid w:val="00D96F16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4B99"/>
    <w:rsid w:val="00DF4E84"/>
    <w:rsid w:val="00DF5AC2"/>
    <w:rsid w:val="00E011AA"/>
    <w:rsid w:val="00E02379"/>
    <w:rsid w:val="00E0243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AD6"/>
    <w:rsid w:val="00E43D91"/>
    <w:rsid w:val="00E470EF"/>
    <w:rsid w:val="00E5226C"/>
    <w:rsid w:val="00E5243B"/>
    <w:rsid w:val="00E53E9E"/>
    <w:rsid w:val="00E54221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219F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17BF"/>
    <w:rsid w:val="00EC2224"/>
    <w:rsid w:val="00EC26E6"/>
    <w:rsid w:val="00EC4040"/>
    <w:rsid w:val="00ED0F2D"/>
    <w:rsid w:val="00ED12C0"/>
    <w:rsid w:val="00ED1364"/>
    <w:rsid w:val="00ED17EC"/>
    <w:rsid w:val="00ED1ACB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F0082C"/>
    <w:rsid w:val="00F00B38"/>
    <w:rsid w:val="00F03581"/>
    <w:rsid w:val="00F05853"/>
    <w:rsid w:val="00F0611D"/>
    <w:rsid w:val="00F12314"/>
    <w:rsid w:val="00F129D5"/>
    <w:rsid w:val="00F13091"/>
    <w:rsid w:val="00F1689B"/>
    <w:rsid w:val="00F2113B"/>
    <w:rsid w:val="00F21AB5"/>
    <w:rsid w:val="00F240D4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B23CC"/>
    <w:rsid w:val="00FB3318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A2A"/>
    <w:rsid w:val="00FD71E0"/>
    <w:rsid w:val="00FE0A30"/>
    <w:rsid w:val="00FE45AD"/>
    <w:rsid w:val="00FE5D4A"/>
    <w:rsid w:val="00FE794E"/>
    <w:rsid w:val="00FF3EF9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qFormat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2442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244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49</cp:revision>
  <cp:lastPrinted>2022-10-25T08:26:00Z</cp:lastPrinted>
  <dcterms:created xsi:type="dcterms:W3CDTF">2024-12-09T14:11:00Z</dcterms:created>
  <dcterms:modified xsi:type="dcterms:W3CDTF">2025-08-19T10:46:00Z</dcterms:modified>
</cp:coreProperties>
</file>